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7F84DE58" w:rsidR="00C46DBF" w:rsidRPr="002D0EA3" w:rsidRDefault="00C46DBF" w:rsidP="00D93250">
      <w:pPr>
        <w:spacing w:after="0" w:line="276" w:lineRule="auto"/>
        <w:jc w:val="center"/>
        <w:rPr>
          <w:rFonts w:asciiTheme="minorHAnsi" w:hAnsiTheme="minorHAnsi" w:cstheme="minorHAnsi"/>
          <w:b/>
          <w:u w:val="single"/>
        </w:rPr>
      </w:pPr>
      <w:bookmarkStart w:id="0" w:name="_Hlk143527044"/>
      <w:r w:rsidRPr="002D0EA3">
        <w:rPr>
          <w:rFonts w:asciiTheme="minorHAnsi" w:hAnsiTheme="minorHAnsi" w:cstheme="minorHAnsi"/>
          <w:b/>
          <w:u w:val="single"/>
        </w:rPr>
        <w:t>Parecer Jurídico nº</w:t>
      </w:r>
      <w:r w:rsidR="000E76FD" w:rsidRPr="002D0EA3">
        <w:rPr>
          <w:rFonts w:asciiTheme="minorHAnsi" w:hAnsiTheme="minorHAnsi" w:cstheme="minorHAnsi"/>
          <w:b/>
          <w:u w:val="single"/>
        </w:rPr>
        <w:t xml:space="preserve"> 00</w:t>
      </w:r>
      <w:r w:rsidR="00A13AA2">
        <w:rPr>
          <w:rFonts w:asciiTheme="minorHAnsi" w:hAnsiTheme="minorHAnsi" w:cstheme="minorHAnsi"/>
          <w:b/>
          <w:u w:val="single"/>
        </w:rPr>
        <w:t>3</w:t>
      </w:r>
      <w:r w:rsidRPr="002D0EA3">
        <w:rPr>
          <w:rFonts w:asciiTheme="minorHAnsi" w:hAnsiTheme="minorHAnsi" w:cstheme="minorHAnsi"/>
          <w:b/>
          <w:u w:val="single"/>
        </w:rPr>
        <w:t>/</w:t>
      </w:r>
      <w:r w:rsidR="000E76FD" w:rsidRPr="002D0EA3">
        <w:rPr>
          <w:rFonts w:asciiTheme="minorHAnsi" w:hAnsiTheme="minorHAnsi" w:cstheme="minorHAnsi"/>
          <w:b/>
          <w:u w:val="single"/>
        </w:rPr>
        <w:t>2025</w:t>
      </w:r>
      <w:r w:rsidR="00CE3813" w:rsidRPr="002D0EA3">
        <w:rPr>
          <w:rFonts w:asciiTheme="minorHAnsi" w:hAnsiTheme="minorHAnsi" w:cstheme="minorHAnsi"/>
          <w:b/>
          <w:u w:val="single"/>
        </w:rPr>
        <w:t xml:space="preserve"> </w:t>
      </w:r>
      <w:r w:rsidRPr="002D0EA3">
        <w:rPr>
          <w:rFonts w:asciiTheme="minorHAnsi" w:hAnsiTheme="minorHAnsi" w:cstheme="minorHAnsi"/>
          <w:b/>
          <w:u w:val="single"/>
        </w:rPr>
        <w:t>– CMCDM</w:t>
      </w:r>
    </w:p>
    <w:p w14:paraId="41B93C46" w14:textId="77777777" w:rsidR="00C46DBF" w:rsidRPr="002D0EA3" w:rsidRDefault="00C46DBF" w:rsidP="00D93250">
      <w:pPr>
        <w:spacing w:after="0" w:line="276" w:lineRule="auto"/>
        <w:ind w:firstLine="851"/>
        <w:jc w:val="center"/>
        <w:rPr>
          <w:rFonts w:asciiTheme="minorHAnsi" w:hAnsiTheme="minorHAnsi" w:cstheme="minorHAnsi"/>
          <w:b/>
          <w:highlight w:val="lightGray"/>
          <w:u w:val="single"/>
        </w:rPr>
      </w:pPr>
    </w:p>
    <w:p w14:paraId="30D72C16" w14:textId="6EF773B6" w:rsidR="00C02DDA" w:rsidRPr="002D0EA3" w:rsidRDefault="00C02DDA" w:rsidP="00C02DDA">
      <w:pPr>
        <w:spacing w:after="0" w:line="276" w:lineRule="auto"/>
        <w:ind w:left="4536"/>
        <w:jc w:val="both"/>
        <w:rPr>
          <w:rFonts w:asciiTheme="minorHAnsi" w:hAnsiTheme="minorHAnsi" w:cstheme="minorHAnsi"/>
          <w:b/>
        </w:rPr>
      </w:pPr>
      <w:r w:rsidRPr="002D0EA3">
        <w:rPr>
          <w:rFonts w:asciiTheme="minorHAnsi" w:hAnsiTheme="minorHAnsi" w:cstheme="minorHAnsi"/>
          <w:b/>
        </w:rPr>
        <w:t>EMENTA: ANÁLISE DE CONSTITUCIONALIDADE, LEGALIDADE E JURIDICIDADE DE PROPOSIÇÃO LEGISLATIVA. OPINA PELO PROSSEGUIMENTO.</w:t>
      </w:r>
    </w:p>
    <w:p w14:paraId="7A4A24D7" w14:textId="0E37C0EB" w:rsidR="00C46DBF" w:rsidRPr="002D0EA3" w:rsidRDefault="00C02DDA" w:rsidP="00D93250">
      <w:pPr>
        <w:spacing w:after="0" w:line="276" w:lineRule="auto"/>
        <w:jc w:val="both"/>
        <w:rPr>
          <w:rFonts w:asciiTheme="minorHAnsi" w:hAnsiTheme="minorHAnsi" w:cstheme="minorHAnsi"/>
          <w:b/>
        </w:rPr>
      </w:pPr>
      <w:r w:rsidRPr="002D0EA3">
        <w:rPr>
          <w:rFonts w:asciiTheme="minorHAnsi" w:hAnsiTheme="minorHAnsi" w:cstheme="minorHAnsi"/>
          <w:b/>
        </w:rPr>
        <w:t>Projeto nº</w:t>
      </w:r>
      <w:r w:rsidR="00C46DBF" w:rsidRPr="002D0EA3">
        <w:rPr>
          <w:rFonts w:asciiTheme="minorHAnsi" w:hAnsiTheme="minorHAnsi" w:cstheme="minorHAnsi"/>
          <w:b/>
        </w:rPr>
        <w:t xml:space="preserve">: </w:t>
      </w:r>
      <w:r w:rsidR="00CE3813" w:rsidRPr="002D0EA3">
        <w:rPr>
          <w:rFonts w:asciiTheme="minorHAnsi" w:hAnsiTheme="minorHAnsi" w:cstheme="minorHAnsi"/>
          <w:b/>
        </w:rPr>
        <w:t xml:space="preserve"> </w:t>
      </w:r>
      <w:r w:rsidR="005275F5" w:rsidRPr="002D0EA3">
        <w:rPr>
          <w:rFonts w:asciiTheme="minorHAnsi" w:hAnsiTheme="minorHAnsi" w:cstheme="minorHAnsi"/>
          <w:b/>
        </w:rPr>
        <w:t>1.88</w:t>
      </w:r>
      <w:r w:rsidR="00A13AA2">
        <w:rPr>
          <w:rFonts w:asciiTheme="minorHAnsi" w:hAnsiTheme="minorHAnsi" w:cstheme="minorHAnsi"/>
          <w:b/>
        </w:rPr>
        <w:t>5</w:t>
      </w:r>
      <w:r w:rsidR="005275F5" w:rsidRPr="002D0EA3">
        <w:rPr>
          <w:rFonts w:asciiTheme="minorHAnsi" w:hAnsiTheme="minorHAnsi" w:cstheme="minorHAnsi"/>
          <w:b/>
        </w:rPr>
        <w:t>/2025</w:t>
      </w:r>
    </w:p>
    <w:p w14:paraId="09743D07" w14:textId="3A5AE157" w:rsidR="00C46DBF" w:rsidRPr="002D0EA3" w:rsidRDefault="00C46DBF" w:rsidP="00D93250">
      <w:pPr>
        <w:spacing w:after="0" w:line="276" w:lineRule="auto"/>
        <w:jc w:val="both"/>
        <w:rPr>
          <w:rFonts w:asciiTheme="minorHAnsi" w:hAnsiTheme="minorHAnsi" w:cstheme="minorHAnsi"/>
          <w:b/>
        </w:rPr>
      </w:pPr>
      <w:r w:rsidRPr="002D0EA3">
        <w:rPr>
          <w:rFonts w:asciiTheme="minorHAnsi" w:hAnsiTheme="minorHAnsi" w:cstheme="minorHAnsi"/>
          <w:b/>
        </w:rPr>
        <w:t xml:space="preserve">Autoria: </w:t>
      </w:r>
      <w:r w:rsidR="00CE3813" w:rsidRPr="002D0EA3">
        <w:rPr>
          <w:rFonts w:asciiTheme="minorHAnsi" w:hAnsiTheme="minorHAnsi" w:cstheme="minorHAnsi"/>
          <w:b/>
        </w:rPr>
        <w:t xml:space="preserve"> </w:t>
      </w:r>
      <w:r w:rsidR="00A13AA2">
        <w:rPr>
          <w:rFonts w:asciiTheme="minorHAnsi" w:hAnsiTheme="minorHAnsi" w:cstheme="minorHAnsi"/>
          <w:b/>
        </w:rPr>
        <w:t>Silvana Barreto</w:t>
      </w:r>
    </w:p>
    <w:p w14:paraId="47A3F1AB" w14:textId="1D68398F" w:rsidR="00C46DBF" w:rsidRDefault="00C46DBF" w:rsidP="00D93250">
      <w:pPr>
        <w:spacing w:after="0" w:line="276" w:lineRule="auto"/>
        <w:jc w:val="both"/>
        <w:rPr>
          <w:rFonts w:asciiTheme="minorHAnsi" w:hAnsiTheme="minorHAnsi" w:cstheme="minorHAnsi"/>
          <w:b/>
        </w:rPr>
      </w:pPr>
      <w:r w:rsidRPr="002D0EA3">
        <w:rPr>
          <w:rFonts w:asciiTheme="minorHAnsi" w:hAnsiTheme="minorHAnsi" w:cstheme="minorHAnsi"/>
          <w:b/>
        </w:rPr>
        <w:t xml:space="preserve">Ementa: </w:t>
      </w:r>
      <w:r w:rsidR="00CE3813" w:rsidRPr="002D0EA3">
        <w:rPr>
          <w:rFonts w:asciiTheme="minorHAnsi" w:hAnsiTheme="minorHAnsi" w:cstheme="minorHAnsi"/>
          <w:b/>
        </w:rPr>
        <w:t xml:space="preserve"> </w:t>
      </w:r>
      <w:r w:rsidR="00A13AA2" w:rsidRPr="00A13AA2">
        <w:rPr>
          <w:rFonts w:asciiTheme="minorHAnsi" w:hAnsiTheme="minorHAnsi" w:cstheme="minorHAnsi"/>
          <w:b/>
        </w:rPr>
        <w:t>Regulamenta a proibição do descarte de entulho, resíduos de grande porte e de poda de árvores em via pública no Município de Carmo Da Mata/MG.</w:t>
      </w:r>
    </w:p>
    <w:p w14:paraId="1B74B5AE" w14:textId="77777777" w:rsidR="00A13AA2" w:rsidRPr="002D0EA3" w:rsidRDefault="00A13AA2" w:rsidP="00D93250">
      <w:pPr>
        <w:spacing w:after="0" w:line="276" w:lineRule="auto"/>
        <w:jc w:val="both"/>
        <w:rPr>
          <w:rFonts w:asciiTheme="minorHAnsi" w:hAnsiTheme="minorHAnsi" w:cstheme="minorHAnsi"/>
          <w:b/>
          <w:highlight w:val="lightGray"/>
        </w:rPr>
      </w:pPr>
    </w:p>
    <w:p w14:paraId="777B151E" w14:textId="77777777" w:rsidR="00C46DBF" w:rsidRPr="002D0EA3" w:rsidRDefault="00C46DBF" w:rsidP="00D93250">
      <w:pPr>
        <w:spacing w:after="0" w:line="276" w:lineRule="auto"/>
        <w:rPr>
          <w:rFonts w:asciiTheme="minorHAnsi" w:hAnsiTheme="minorHAnsi" w:cstheme="minorHAnsi"/>
          <w:lang w:eastAsia="en-US"/>
        </w:rPr>
      </w:pPr>
      <w:r w:rsidRPr="002D0EA3">
        <w:rPr>
          <w:rFonts w:asciiTheme="minorHAnsi" w:hAnsiTheme="minorHAnsi" w:cstheme="minorHAnsi"/>
          <w:b/>
          <w:lang w:eastAsia="en-US"/>
        </w:rPr>
        <w:t>I – DO ÂMBITO DE ATRIBUIÇÃO DO ASSESSORAMENTO JURÍDICO</w:t>
      </w:r>
    </w:p>
    <w:p w14:paraId="47E62499" w14:textId="135645A8" w:rsidR="00C46DBF" w:rsidRPr="002D0EA3" w:rsidRDefault="00C46DBF" w:rsidP="00D93250">
      <w:pPr>
        <w:spacing w:after="0" w:line="276" w:lineRule="auto"/>
        <w:ind w:firstLine="851"/>
        <w:jc w:val="both"/>
        <w:rPr>
          <w:rFonts w:asciiTheme="minorHAnsi" w:hAnsiTheme="minorHAnsi" w:cstheme="minorHAnsi"/>
          <w:lang w:eastAsia="en-US"/>
        </w:rPr>
      </w:pPr>
      <w:r w:rsidRPr="002D0EA3">
        <w:rPr>
          <w:rFonts w:asciiTheme="minorHAnsi" w:hAnsiTheme="minorHAnsi" w:cstheme="minorHAnsi"/>
          <w:lang w:eastAsia="en-US"/>
        </w:rPr>
        <w:t xml:space="preserve">Preliminarmente à análise da minuta, esta Procuradoria </w:t>
      </w:r>
      <w:r w:rsidR="00CE3813" w:rsidRPr="002D0EA3">
        <w:rPr>
          <w:rFonts w:asciiTheme="minorHAnsi" w:hAnsiTheme="minorHAnsi" w:cstheme="minorHAnsi"/>
          <w:lang w:eastAsia="en-US"/>
        </w:rPr>
        <w:t>Legislativa</w:t>
      </w:r>
      <w:r w:rsidRPr="002D0EA3">
        <w:rPr>
          <w:rFonts w:asciiTheme="minorHAnsi" w:hAnsiTheme="minorHAnsi" w:cstheme="minorHAnsi"/>
          <w:lang w:eastAsia="en-US"/>
        </w:rPr>
        <w:t xml:space="preserve"> esclarece que a presente manifestação dar-se-á sob o ponto de vista estritamente jurídico, desbordando do objetivo do presente Parecer a análise do mérito </w:t>
      </w:r>
      <w:r w:rsidR="00CE3813" w:rsidRPr="002D0EA3">
        <w:rPr>
          <w:rFonts w:asciiTheme="minorHAnsi" w:hAnsiTheme="minorHAnsi" w:cstheme="minorHAnsi"/>
          <w:lang w:eastAsia="en-US"/>
        </w:rPr>
        <w:t>legislativo e/ou administrativo</w:t>
      </w:r>
      <w:r w:rsidRPr="002D0EA3">
        <w:rPr>
          <w:rFonts w:asciiTheme="minorHAnsi" w:hAnsiTheme="minorHAnsi" w:cstheme="minorHAnsi"/>
          <w:lang w:eastAsia="en-US"/>
        </w:rPr>
        <w:t xml:space="preserve">, notadamente quanto ao juízo </w:t>
      </w:r>
      <w:r w:rsidR="00CE3813" w:rsidRPr="002D0EA3">
        <w:rPr>
          <w:rFonts w:asciiTheme="minorHAnsi" w:hAnsiTheme="minorHAnsi" w:cstheme="minorHAnsi"/>
          <w:lang w:eastAsia="en-US"/>
        </w:rPr>
        <w:t>dos parlamentares a respeito de seus respectivos votos e ao juízo do gestor</w:t>
      </w:r>
      <w:r w:rsidRPr="002D0EA3">
        <w:rPr>
          <w:rFonts w:asciiTheme="minorHAnsi" w:hAnsiTheme="minorHAnsi" w:cstheme="minorHAnsi"/>
          <w:lang w:eastAsia="en-US"/>
        </w:rPr>
        <w:t xml:space="preserve"> a respeito da oportunidade e conveniência da prática de atos à luz do interesse público. </w:t>
      </w:r>
    </w:p>
    <w:p w14:paraId="6316CF6E" w14:textId="378CFE2D" w:rsidR="00C46DBF" w:rsidRPr="002D0EA3" w:rsidRDefault="00C46DBF" w:rsidP="00D93250">
      <w:pPr>
        <w:spacing w:after="0" w:line="276" w:lineRule="auto"/>
        <w:ind w:firstLine="851"/>
        <w:jc w:val="both"/>
        <w:rPr>
          <w:rFonts w:asciiTheme="minorHAnsi" w:hAnsiTheme="minorHAnsi" w:cstheme="minorHAnsi"/>
          <w:highlight w:val="white"/>
        </w:rPr>
      </w:pPr>
      <w:r w:rsidRPr="002D0EA3">
        <w:rPr>
          <w:rFonts w:asciiTheme="minorHAnsi" w:hAnsiTheme="minorHAnsi" w:cstheme="minorHAnsi"/>
          <w:highlight w:val="white"/>
        </w:rPr>
        <w:t>A definição do escopo da análise pel</w:t>
      </w:r>
      <w:r w:rsidR="00CE3813" w:rsidRPr="002D0EA3">
        <w:rPr>
          <w:rFonts w:asciiTheme="minorHAnsi" w:hAnsiTheme="minorHAnsi" w:cstheme="minorHAnsi"/>
          <w:highlight w:val="white"/>
        </w:rPr>
        <w:t xml:space="preserve">a Advocacia Legislativa </w:t>
      </w:r>
      <w:r w:rsidRPr="002D0EA3">
        <w:rPr>
          <w:rFonts w:asciiTheme="minorHAnsi" w:hAnsiTheme="minorHAnsi" w:cstheme="minorHAnsi"/>
          <w:highlight w:val="white"/>
        </w:rPr>
        <w:t>é objeto de orientação no âmbito deste órgão, conforme Anexo IV da Lei Complementar Municipal nº 65 de 12 de dezembro de 2012, alterada pela Lei Complementar Municipal nº 97 de 08 de janeiro de 2022, abaixo transcrito:</w:t>
      </w:r>
    </w:p>
    <w:p w14:paraId="7D20A498" w14:textId="77777777" w:rsidR="00C46DBF" w:rsidRPr="002D0EA3" w:rsidRDefault="00C46DBF" w:rsidP="00D93250">
      <w:pPr>
        <w:numPr>
          <w:ilvl w:val="0"/>
          <w:numId w:val="1"/>
        </w:numPr>
        <w:spacing w:after="0" w:line="276" w:lineRule="auto"/>
        <w:ind w:left="2268"/>
        <w:jc w:val="both"/>
        <w:rPr>
          <w:rFonts w:asciiTheme="minorHAnsi" w:hAnsiTheme="minorHAnsi" w:cstheme="minorHAnsi"/>
          <w:i/>
          <w:highlight w:val="white"/>
        </w:rPr>
      </w:pPr>
      <w:r w:rsidRPr="002D0EA3">
        <w:rPr>
          <w:rFonts w:asciiTheme="minorHAnsi" w:hAnsiTheme="minorHAnsi" w:cstheme="minorHAnsi"/>
          <w:i/>
          <w:highlight w:val="white"/>
        </w:rPr>
        <w:t>Manifestar ou opinar por meio de pareceres escritos sobre a interpretação de textos legais e projetos de leis e demais atos normativos;</w:t>
      </w:r>
    </w:p>
    <w:p w14:paraId="6857622A" w14:textId="77777777" w:rsidR="00C46DBF" w:rsidRPr="002D0EA3" w:rsidRDefault="00C46DBF" w:rsidP="00D93250">
      <w:pPr>
        <w:numPr>
          <w:ilvl w:val="0"/>
          <w:numId w:val="1"/>
        </w:numPr>
        <w:spacing w:after="0" w:line="276" w:lineRule="auto"/>
        <w:ind w:left="2268"/>
        <w:jc w:val="both"/>
        <w:rPr>
          <w:rFonts w:asciiTheme="minorHAnsi" w:hAnsiTheme="minorHAnsi" w:cstheme="minorHAnsi"/>
          <w:i/>
          <w:highlight w:val="white"/>
        </w:rPr>
      </w:pPr>
      <w:r w:rsidRPr="002D0EA3">
        <w:rPr>
          <w:rFonts w:asciiTheme="minorHAnsi" w:hAnsiTheme="minorHAnsi" w:cstheme="minorHAnsi"/>
          <w:i/>
          <w:highlight w:val="white"/>
        </w:rPr>
        <w:t>Emitir pareceres sobre questões jurídicas e legais e manifestar-se sobre a constitucionalidade de todos os projetos de leis apresentados via parecer;</w:t>
      </w:r>
    </w:p>
    <w:p w14:paraId="0F43DCE6" w14:textId="77777777" w:rsidR="00CE3813" w:rsidRPr="002D0EA3" w:rsidRDefault="00CE3813" w:rsidP="00D93250">
      <w:pPr>
        <w:spacing w:after="0" w:line="276" w:lineRule="auto"/>
        <w:ind w:firstLine="851"/>
        <w:jc w:val="both"/>
        <w:rPr>
          <w:rFonts w:asciiTheme="minorHAnsi" w:hAnsiTheme="minorHAnsi" w:cstheme="minorHAnsi"/>
          <w:lang w:eastAsia="en-US"/>
        </w:rPr>
      </w:pPr>
    </w:p>
    <w:p w14:paraId="206D00DA" w14:textId="36FFD2B9" w:rsidR="00C46DBF" w:rsidRPr="002D0EA3" w:rsidRDefault="00C46DBF" w:rsidP="00D93250">
      <w:pPr>
        <w:spacing w:after="0" w:line="276" w:lineRule="auto"/>
        <w:ind w:firstLine="851"/>
        <w:jc w:val="both"/>
        <w:rPr>
          <w:rFonts w:asciiTheme="minorHAnsi" w:hAnsiTheme="minorHAnsi" w:cstheme="minorHAnsi"/>
          <w:lang w:eastAsia="en-US"/>
        </w:rPr>
      </w:pPr>
      <w:r w:rsidRPr="002D0EA3">
        <w:rPr>
          <w:rFonts w:asciiTheme="minorHAnsi" w:hAnsiTheme="minorHAnsi" w:cstheme="minorHAnsi"/>
          <w:lang w:eastAsia="en-US"/>
        </w:rPr>
        <w:t xml:space="preserve">Por fim, esclarece-se que a presente manifestação se limitará aos aspectos jurídicos, vez </w:t>
      </w:r>
      <w:r w:rsidRPr="002D0EA3">
        <w:rPr>
          <w:rFonts w:asciiTheme="minorHAnsi" w:hAnsiTheme="minorHAnsi" w:cstheme="minorHAnsi"/>
          <w:b/>
          <w:u w:val="single"/>
          <w:lang w:eastAsia="en-US"/>
        </w:rPr>
        <w:t>que não se encontra no âmbito de atribuição desta Procuradoria Legislativa avaliar questões técnicas e operacionais</w:t>
      </w:r>
      <w:r w:rsidRPr="002D0EA3">
        <w:rPr>
          <w:rFonts w:asciiTheme="minorHAnsi" w:hAnsiTheme="minorHAnsi" w:cstheme="minorHAnsi"/>
          <w:lang w:eastAsia="en-US"/>
        </w:rPr>
        <w:t>, tendo a manifestação amparo na presunção de veracidade das informações e justificativas prestadas pelos agentes públicos envolvidos, no exercício das respectivas competências institucionais.</w:t>
      </w:r>
    </w:p>
    <w:p w14:paraId="10C66D49" w14:textId="77777777" w:rsidR="00C46DBF" w:rsidRPr="002D0EA3" w:rsidRDefault="00C46DBF" w:rsidP="00D93250">
      <w:pPr>
        <w:pStyle w:val="Default"/>
        <w:spacing w:line="276" w:lineRule="auto"/>
        <w:jc w:val="both"/>
        <w:rPr>
          <w:rFonts w:asciiTheme="minorHAnsi" w:hAnsiTheme="minorHAnsi" w:cstheme="minorHAnsi"/>
          <w:b/>
          <w:bCs/>
          <w:color w:val="auto"/>
          <w:sz w:val="22"/>
          <w:szCs w:val="22"/>
          <w:highlight w:val="lightGray"/>
        </w:rPr>
      </w:pPr>
    </w:p>
    <w:p w14:paraId="40A8B437" w14:textId="22E9F054" w:rsidR="00395040" w:rsidRPr="002D0EA3" w:rsidRDefault="00BD7E03"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II –</w:t>
      </w:r>
      <w:r w:rsidR="00CE3813" w:rsidRPr="002D0EA3">
        <w:rPr>
          <w:rFonts w:asciiTheme="minorHAnsi" w:hAnsiTheme="minorHAnsi" w:cstheme="minorHAnsi"/>
          <w:b/>
          <w:bCs/>
          <w:color w:val="auto"/>
          <w:sz w:val="22"/>
          <w:szCs w:val="22"/>
        </w:rPr>
        <w:t xml:space="preserve"> </w:t>
      </w:r>
      <w:r w:rsidR="00395040" w:rsidRPr="002D0EA3">
        <w:rPr>
          <w:rFonts w:asciiTheme="minorHAnsi" w:hAnsiTheme="minorHAnsi" w:cstheme="minorHAnsi"/>
          <w:b/>
          <w:bCs/>
          <w:color w:val="auto"/>
          <w:sz w:val="22"/>
          <w:szCs w:val="22"/>
        </w:rPr>
        <w:t>DO RELATÓRIO</w:t>
      </w:r>
    </w:p>
    <w:p w14:paraId="31B2AC4A" w14:textId="7A1DDC6E" w:rsidR="00395040" w:rsidRPr="002D0EA3" w:rsidRDefault="00395040"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Trata-se de análise e manifestação acerca do projeto de</w:t>
      </w:r>
      <w:r w:rsidRPr="002D0EA3">
        <w:rPr>
          <w:rFonts w:asciiTheme="minorHAnsi" w:hAnsiTheme="minorHAnsi" w:cstheme="minorHAnsi"/>
          <w:color w:val="auto"/>
          <w:sz w:val="22"/>
          <w:szCs w:val="22"/>
        </w:rPr>
        <w:t xml:space="preserve"> </w:t>
      </w:r>
      <w:r w:rsidR="005275F5" w:rsidRPr="002D0EA3">
        <w:rPr>
          <w:rFonts w:asciiTheme="minorHAnsi" w:hAnsiTheme="minorHAnsi" w:cstheme="minorHAnsi"/>
          <w:color w:val="auto"/>
          <w:sz w:val="22"/>
          <w:szCs w:val="22"/>
        </w:rPr>
        <w:t>lei</w:t>
      </w:r>
      <w:r w:rsidRPr="002D0EA3">
        <w:rPr>
          <w:rFonts w:asciiTheme="minorHAnsi" w:hAnsiTheme="minorHAnsi" w:cstheme="minorHAnsi"/>
          <w:color w:val="auto"/>
          <w:sz w:val="22"/>
          <w:szCs w:val="22"/>
        </w:rPr>
        <w:t xml:space="preserve"> </w:t>
      </w:r>
      <w:r w:rsidRPr="002D0EA3">
        <w:rPr>
          <w:rFonts w:asciiTheme="minorHAnsi" w:hAnsiTheme="minorHAnsi" w:cstheme="minorHAnsi"/>
          <w:color w:val="auto"/>
          <w:sz w:val="22"/>
          <w:szCs w:val="22"/>
        </w:rPr>
        <w:t>em epígrafe que, em síntese,</w:t>
      </w:r>
      <w:r w:rsidRPr="002D0EA3">
        <w:rPr>
          <w:rFonts w:asciiTheme="minorHAnsi" w:hAnsiTheme="minorHAnsi" w:cstheme="minorHAnsi"/>
          <w:color w:val="auto"/>
          <w:sz w:val="22"/>
          <w:szCs w:val="22"/>
        </w:rPr>
        <w:t xml:space="preserve"> </w:t>
      </w:r>
      <w:r w:rsidR="00031B55">
        <w:rPr>
          <w:rFonts w:asciiTheme="minorHAnsi" w:hAnsiTheme="minorHAnsi" w:cstheme="minorHAnsi"/>
          <w:color w:val="auto"/>
          <w:sz w:val="22"/>
          <w:szCs w:val="22"/>
        </w:rPr>
        <w:t>deseja regulamentar matéria a respeito da limpeza urbana, no que concerne a resíduos diferentes do resíduo comum domiciliar, como o entulho (restos de construção civil), resíduos de grande porte (como móveis e restos de madeira) e podas de árvores (como grandes galhos)</w:t>
      </w:r>
      <w:r w:rsidRPr="002D0EA3">
        <w:rPr>
          <w:rFonts w:asciiTheme="minorHAnsi" w:hAnsiTheme="minorHAnsi" w:cstheme="minorHAnsi"/>
          <w:color w:val="auto"/>
          <w:sz w:val="22"/>
          <w:szCs w:val="22"/>
        </w:rPr>
        <w:t>.</w:t>
      </w:r>
    </w:p>
    <w:p w14:paraId="40357308" w14:textId="1CB8AF45" w:rsidR="00395040" w:rsidRPr="002D0EA3" w:rsidRDefault="005275F5"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Conforme apresentado em justificativa que acompanha o projeto, a</w:t>
      </w:r>
      <w:r w:rsidR="00395040" w:rsidRPr="002D0EA3">
        <w:rPr>
          <w:rFonts w:asciiTheme="minorHAnsi" w:hAnsiTheme="minorHAnsi" w:cstheme="minorHAnsi"/>
          <w:color w:val="auto"/>
          <w:sz w:val="22"/>
          <w:szCs w:val="22"/>
        </w:rPr>
        <w:t xml:space="preserve"> medida </w:t>
      </w:r>
      <w:r w:rsidRPr="002D0EA3">
        <w:rPr>
          <w:rFonts w:asciiTheme="minorHAnsi" w:hAnsiTheme="minorHAnsi" w:cstheme="minorHAnsi"/>
          <w:color w:val="auto"/>
          <w:sz w:val="22"/>
          <w:szCs w:val="22"/>
        </w:rPr>
        <w:t>“</w:t>
      </w:r>
      <w:r w:rsidRPr="002D0EA3">
        <w:rPr>
          <w:rFonts w:asciiTheme="minorHAnsi" w:hAnsiTheme="minorHAnsi" w:cstheme="minorHAnsi"/>
          <w:color w:val="auto"/>
          <w:sz w:val="22"/>
          <w:szCs w:val="22"/>
        </w:rPr>
        <w:t xml:space="preserve">se justifica pela necessidade de </w:t>
      </w:r>
      <w:r w:rsidR="00031B55">
        <w:rPr>
          <w:rFonts w:asciiTheme="minorHAnsi" w:hAnsiTheme="minorHAnsi" w:cstheme="minorHAnsi"/>
          <w:color w:val="auto"/>
          <w:sz w:val="22"/>
          <w:szCs w:val="22"/>
        </w:rPr>
        <w:t xml:space="preserve">organizar a limpeza urbana de resíduos de grande porte, </w:t>
      </w:r>
      <w:r w:rsidR="00031B55">
        <w:rPr>
          <w:rFonts w:asciiTheme="minorHAnsi" w:hAnsiTheme="minorHAnsi" w:cstheme="minorHAnsi"/>
          <w:color w:val="auto"/>
          <w:sz w:val="22"/>
          <w:szCs w:val="22"/>
        </w:rPr>
        <w:lastRenderedPageBreak/>
        <w:t>principalmente depois da catástrofe do dia 23 de dezembro, na qual fortes chuvas atingiram o município, inundando diversas residências e causando perda de móveis, desabamentos e quedas de árvores.</w:t>
      </w:r>
    </w:p>
    <w:p w14:paraId="6B6E5877" w14:textId="77777777" w:rsidR="005275F5" w:rsidRPr="002D0EA3" w:rsidRDefault="005275F5" w:rsidP="00395040">
      <w:pPr>
        <w:pStyle w:val="Default"/>
        <w:spacing w:line="276" w:lineRule="auto"/>
        <w:ind w:firstLine="851"/>
        <w:jc w:val="both"/>
        <w:rPr>
          <w:rFonts w:asciiTheme="minorHAnsi" w:hAnsiTheme="minorHAnsi" w:cstheme="minorHAnsi"/>
          <w:color w:val="auto"/>
          <w:sz w:val="22"/>
          <w:szCs w:val="22"/>
        </w:rPr>
      </w:pPr>
    </w:p>
    <w:p w14:paraId="230B0F4A" w14:textId="2445B6F8" w:rsidR="00395040" w:rsidRPr="002D0EA3" w:rsidRDefault="00395040"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É o breve relato dos fatos.</w:t>
      </w:r>
    </w:p>
    <w:p w14:paraId="3FA66A93" w14:textId="77777777" w:rsidR="00395040" w:rsidRPr="002D0EA3" w:rsidRDefault="00395040" w:rsidP="00D93250">
      <w:pPr>
        <w:pStyle w:val="Default"/>
        <w:spacing w:line="276" w:lineRule="auto"/>
        <w:jc w:val="both"/>
        <w:rPr>
          <w:rFonts w:asciiTheme="minorHAnsi" w:hAnsiTheme="minorHAnsi" w:cstheme="minorHAnsi"/>
          <w:b/>
          <w:bCs/>
          <w:color w:val="auto"/>
          <w:sz w:val="22"/>
          <w:szCs w:val="22"/>
        </w:rPr>
      </w:pPr>
    </w:p>
    <w:p w14:paraId="0F04A6C0" w14:textId="3BF5E574" w:rsidR="00CE3813" w:rsidRPr="002D0EA3" w:rsidRDefault="00395040"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III – </w:t>
      </w:r>
      <w:r w:rsidR="00CE3813" w:rsidRPr="002D0EA3">
        <w:rPr>
          <w:rFonts w:asciiTheme="minorHAnsi" w:hAnsiTheme="minorHAnsi" w:cstheme="minorHAnsi"/>
          <w:b/>
          <w:bCs/>
          <w:color w:val="auto"/>
          <w:sz w:val="22"/>
          <w:szCs w:val="22"/>
        </w:rPr>
        <w:t>DA ANÁLISE JURÍDICA</w:t>
      </w:r>
      <w:r w:rsidR="00BD7E03" w:rsidRPr="002D0EA3">
        <w:rPr>
          <w:rFonts w:asciiTheme="minorHAnsi" w:hAnsiTheme="minorHAnsi" w:cstheme="minorHAnsi"/>
          <w:b/>
          <w:bCs/>
          <w:color w:val="auto"/>
          <w:sz w:val="22"/>
          <w:szCs w:val="22"/>
        </w:rPr>
        <w:t xml:space="preserve"> </w:t>
      </w:r>
    </w:p>
    <w:p w14:paraId="6A45A447" w14:textId="77777777" w:rsidR="00CE3813" w:rsidRPr="002D0EA3" w:rsidRDefault="00CE3813" w:rsidP="00D93250">
      <w:pPr>
        <w:pStyle w:val="Default"/>
        <w:spacing w:line="276" w:lineRule="auto"/>
        <w:jc w:val="both"/>
        <w:rPr>
          <w:rFonts w:asciiTheme="minorHAnsi" w:hAnsiTheme="minorHAnsi" w:cstheme="minorHAnsi"/>
          <w:b/>
          <w:bCs/>
          <w:color w:val="auto"/>
          <w:sz w:val="22"/>
          <w:szCs w:val="22"/>
        </w:rPr>
      </w:pPr>
    </w:p>
    <w:p w14:paraId="2CA8A538" w14:textId="6B705B54" w:rsidR="00BD5812" w:rsidRPr="002D0EA3" w:rsidRDefault="00CE3813" w:rsidP="002D3D3B">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II.I </w:t>
      </w:r>
      <w:r w:rsidR="00BD7E03" w:rsidRPr="002D0EA3">
        <w:rPr>
          <w:rFonts w:asciiTheme="minorHAnsi" w:hAnsiTheme="minorHAnsi" w:cstheme="minorHAnsi"/>
          <w:b/>
          <w:bCs/>
          <w:color w:val="auto"/>
          <w:sz w:val="22"/>
          <w:szCs w:val="22"/>
        </w:rPr>
        <w:t>D</w:t>
      </w:r>
      <w:r w:rsidR="002D3D3B" w:rsidRPr="002D0EA3">
        <w:rPr>
          <w:rFonts w:asciiTheme="minorHAnsi" w:hAnsiTheme="minorHAnsi" w:cstheme="minorHAnsi"/>
          <w:b/>
          <w:bCs/>
          <w:color w:val="auto"/>
          <w:sz w:val="22"/>
          <w:szCs w:val="22"/>
        </w:rPr>
        <w:t>OS ASPECTOS FORMAIS</w:t>
      </w:r>
    </w:p>
    <w:p w14:paraId="17E0EE35" w14:textId="77777777" w:rsidR="000C6F57" w:rsidRPr="002D0EA3" w:rsidRDefault="000C6F57" w:rsidP="000C6F57">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Os aspectos formais da proposição do processo legislativo levam em conta as regras e procedimentos previstos na Constituição da República, que são de reprodução obrigatória pelos demais entes, e, quanto às especificidades locais, também as regras e procedimentos previstos na Lei Orgânica e no Regimento Interno para a elaboração da norma. </w:t>
      </w:r>
    </w:p>
    <w:p w14:paraId="1E3CEFD1" w14:textId="77777777" w:rsidR="002D3D3B" w:rsidRPr="002D0EA3" w:rsidRDefault="002D3D3B" w:rsidP="00BD5812">
      <w:pPr>
        <w:pStyle w:val="Default"/>
        <w:spacing w:line="276" w:lineRule="auto"/>
        <w:ind w:firstLine="1134"/>
        <w:jc w:val="both"/>
        <w:rPr>
          <w:rFonts w:asciiTheme="minorHAnsi" w:hAnsiTheme="minorHAnsi" w:cstheme="minorHAnsi"/>
          <w:b/>
          <w:bCs/>
          <w:sz w:val="22"/>
          <w:szCs w:val="22"/>
        </w:rPr>
      </w:pPr>
    </w:p>
    <w:p w14:paraId="2CAE53F8" w14:textId="460A8FD6" w:rsidR="002D3D3B" w:rsidRPr="002D0EA3" w:rsidRDefault="002D3D3B" w:rsidP="00103581">
      <w:pPr>
        <w:pStyle w:val="Default"/>
        <w:spacing w:line="276" w:lineRule="auto"/>
        <w:ind w:firstLine="709"/>
        <w:jc w:val="both"/>
        <w:rPr>
          <w:rFonts w:asciiTheme="minorHAnsi" w:hAnsiTheme="minorHAnsi" w:cstheme="minorHAnsi"/>
          <w:b/>
          <w:bCs/>
          <w:sz w:val="22"/>
          <w:szCs w:val="22"/>
        </w:rPr>
      </w:pPr>
      <w:r w:rsidRPr="002D0EA3">
        <w:rPr>
          <w:rFonts w:asciiTheme="minorHAnsi" w:hAnsiTheme="minorHAnsi" w:cstheme="minorHAnsi"/>
          <w:b/>
          <w:bCs/>
          <w:sz w:val="22"/>
          <w:szCs w:val="22"/>
        </w:rPr>
        <w:t xml:space="preserve">a) Iniciativa de propositura </w:t>
      </w:r>
    </w:p>
    <w:p w14:paraId="3FD9B3B9" w14:textId="77777777" w:rsidR="000C6F57" w:rsidRPr="002D0EA3" w:rsidRDefault="000C6F57" w:rsidP="000C6F57">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Considera-se, conforme entendimento do Supremo Tribunal Federal, que “a verificação da inconstitucionalidade formal antecede logicamente e, se afirmada, a rigor prejudica a da inconstitucionalidade material” (ADI 1.434, voto do rel. min. Sepúlveda Pertence, j. 10-11-1999, P, </w:t>
      </w:r>
      <w:r w:rsidRPr="002D0EA3">
        <w:rPr>
          <w:rFonts w:asciiTheme="minorHAnsi" w:hAnsiTheme="minorHAnsi" w:cstheme="minorHAnsi"/>
          <w:i/>
          <w:iCs/>
          <w:sz w:val="22"/>
          <w:szCs w:val="22"/>
        </w:rPr>
        <w:t>DJ</w:t>
      </w:r>
      <w:r w:rsidRPr="002D0EA3">
        <w:rPr>
          <w:rFonts w:asciiTheme="minorHAnsi" w:hAnsiTheme="minorHAnsi" w:cstheme="minorHAnsi"/>
          <w:sz w:val="22"/>
          <w:szCs w:val="22"/>
        </w:rPr>
        <w:t> de 25-2-2000).</w:t>
      </w:r>
    </w:p>
    <w:p w14:paraId="3A82BD76" w14:textId="51BD5D57" w:rsidR="007B770E" w:rsidRPr="002D0EA3" w:rsidRDefault="007B770E" w:rsidP="00BD5812">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Nesse sentido, </w:t>
      </w:r>
      <w:r w:rsidR="00BD5812" w:rsidRPr="002D0EA3">
        <w:rPr>
          <w:rFonts w:asciiTheme="minorHAnsi" w:hAnsiTheme="minorHAnsi" w:cstheme="minorHAnsi"/>
          <w:sz w:val="22"/>
          <w:szCs w:val="22"/>
        </w:rPr>
        <w:t>é importante observar</w:t>
      </w:r>
      <w:r w:rsidR="003F25DB" w:rsidRPr="002D0EA3">
        <w:rPr>
          <w:rFonts w:asciiTheme="minorHAnsi" w:hAnsiTheme="minorHAnsi" w:cstheme="minorHAnsi"/>
          <w:sz w:val="22"/>
          <w:szCs w:val="22"/>
        </w:rPr>
        <w:t>,</w:t>
      </w:r>
      <w:r w:rsidR="00BD5812" w:rsidRPr="002D0EA3">
        <w:rPr>
          <w:rFonts w:asciiTheme="minorHAnsi" w:hAnsiTheme="minorHAnsi" w:cstheme="minorHAnsi"/>
          <w:sz w:val="22"/>
          <w:szCs w:val="22"/>
        </w:rPr>
        <w:t xml:space="preserve"> </w:t>
      </w:r>
      <w:r w:rsidR="003F25DB" w:rsidRPr="002D0EA3">
        <w:rPr>
          <w:rFonts w:asciiTheme="minorHAnsi" w:hAnsiTheme="minorHAnsi" w:cstheme="minorHAnsi"/>
          <w:sz w:val="22"/>
          <w:szCs w:val="22"/>
        </w:rPr>
        <w:t xml:space="preserve">primeiramente, </w:t>
      </w:r>
      <w:r w:rsidR="00BD5812" w:rsidRPr="002D0EA3">
        <w:rPr>
          <w:rFonts w:asciiTheme="minorHAnsi" w:hAnsiTheme="minorHAnsi" w:cstheme="minorHAnsi"/>
          <w:sz w:val="22"/>
          <w:szCs w:val="22"/>
        </w:rPr>
        <w:t xml:space="preserve">se a </w:t>
      </w:r>
      <w:r w:rsidRPr="002D0EA3">
        <w:rPr>
          <w:rFonts w:asciiTheme="minorHAnsi" w:hAnsiTheme="minorHAnsi" w:cstheme="minorHAnsi"/>
          <w:sz w:val="22"/>
          <w:szCs w:val="22"/>
        </w:rPr>
        <w:t>pessoa ou órgão que propôs o projeto aqui analisado está autorizado a fazê-lo, ou se foi violada alguma d</w:t>
      </w:r>
      <w:r w:rsidR="00BD5812" w:rsidRPr="002D0EA3">
        <w:rPr>
          <w:rFonts w:asciiTheme="minorHAnsi" w:hAnsiTheme="minorHAnsi" w:cstheme="minorHAnsi"/>
          <w:sz w:val="22"/>
          <w:szCs w:val="22"/>
        </w:rPr>
        <w:t xml:space="preserve">as regras rígidas da reserva de iniciativa para a proposição. </w:t>
      </w:r>
    </w:p>
    <w:p w14:paraId="417446B6" w14:textId="77777777" w:rsidR="00BD5812" w:rsidRPr="002D0EA3" w:rsidRDefault="00BD5812" w:rsidP="00BD5812">
      <w:pPr>
        <w:pStyle w:val="Default"/>
        <w:spacing w:line="276" w:lineRule="auto"/>
        <w:ind w:firstLine="1134"/>
        <w:jc w:val="both"/>
        <w:rPr>
          <w:rFonts w:asciiTheme="minorHAnsi" w:hAnsiTheme="minorHAnsi" w:cstheme="minorHAnsi"/>
          <w:color w:val="auto"/>
          <w:sz w:val="22"/>
          <w:szCs w:val="22"/>
        </w:rPr>
      </w:pPr>
    </w:p>
    <w:p w14:paraId="245225D9" w14:textId="77777777" w:rsidR="007B770E" w:rsidRPr="002D0EA3" w:rsidRDefault="007B770E"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Para fins desta análise, deveriam ser observadas as hipóteses taxativas de iniciativa reservada da Constituição da República, de reprodução obrigatória. Contudo, verifica-se que a Lei Orgânica Municipal e o Regimento Interno inovaram, acrescentando novas hipóteses. </w:t>
      </w:r>
    </w:p>
    <w:p w14:paraId="606A37CA" w14:textId="2DCB52B4" w:rsidR="007B770E" w:rsidRPr="002D0EA3" w:rsidRDefault="007B770E"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Como não cabe, neste momento, afastar norma considerada inconstitucional, pelo princípio da validade das normas e conforme teoria do controle de constitucionalidade, a análise da proposição quanto à competência </w:t>
      </w:r>
      <w:r w:rsidR="003F25DB" w:rsidRPr="002D0EA3">
        <w:rPr>
          <w:rFonts w:asciiTheme="minorHAnsi" w:hAnsiTheme="minorHAnsi" w:cstheme="minorHAnsi"/>
          <w:color w:val="auto"/>
          <w:sz w:val="22"/>
          <w:szCs w:val="22"/>
        </w:rPr>
        <w:t>abrangerá não apenas a Constituição da República, como também a Lei Orgânica Municipal e o Regimento Interno desta Casa.</w:t>
      </w:r>
    </w:p>
    <w:p w14:paraId="65EB33FF" w14:textId="570E279E" w:rsidR="007B770E" w:rsidRPr="002D0EA3" w:rsidRDefault="007B770E"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Para aprofundamento e melhores esclarecimentos</w:t>
      </w:r>
      <w:r w:rsidR="003F25DB" w:rsidRPr="002D0EA3">
        <w:rPr>
          <w:rFonts w:asciiTheme="minorHAnsi" w:hAnsiTheme="minorHAnsi" w:cstheme="minorHAnsi"/>
          <w:color w:val="auto"/>
          <w:sz w:val="22"/>
          <w:szCs w:val="22"/>
        </w:rPr>
        <w:t xml:space="preserve"> sobre o tópico</w:t>
      </w:r>
      <w:r w:rsidRPr="002D0EA3">
        <w:rPr>
          <w:rFonts w:asciiTheme="minorHAnsi" w:hAnsiTheme="minorHAnsi" w:cstheme="minorHAnsi"/>
          <w:color w:val="auto"/>
          <w:sz w:val="22"/>
          <w:szCs w:val="22"/>
        </w:rPr>
        <w:t>, sugere-se consultar Nota Técnica 001/2024 desta Advocacia Legislativa.</w:t>
      </w:r>
    </w:p>
    <w:p w14:paraId="660685EA" w14:textId="77777777" w:rsidR="005275F5" w:rsidRPr="002D0EA3" w:rsidRDefault="005275F5" w:rsidP="007B770E">
      <w:pPr>
        <w:pStyle w:val="Default"/>
        <w:spacing w:line="276" w:lineRule="auto"/>
        <w:ind w:firstLine="1134"/>
        <w:jc w:val="both"/>
        <w:rPr>
          <w:rFonts w:asciiTheme="minorHAnsi" w:hAnsiTheme="minorHAnsi" w:cstheme="minorHAnsi"/>
          <w:color w:val="auto"/>
          <w:sz w:val="22"/>
          <w:szCs w:val="22"/>
        </w:rPr>
      </w:pPr>
    </w:p>
    <w:p w14:paraId="3EC343F4" w14:textId="160F2DCC" w:rsidR="005275F5" w:rsidRPr="002D0EA3" w:rsidRDefault="005275F5"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O projeto de lei analisado tem como objetivo </w:t>
      </w:r>
      <w:r w:rsidR="00031B55">
        <w:rPr>
          <w:rFonts w:asciiTheme="minorHAnsi" w:hAnsiTheme="minorHAnsi" w:cstheme="minorHAnsi"/>
          <w:color w:val="auto"/>
          <w:sz w:val="22"/>
          <w:szCs w:val="22"/>
        </w:rPr>
        <w:t xml:space="preserve">regulamentar questão relativa </w:t>
      </w:r>
      <w:r w:rsidR="007E6108">
        <w:rPr>
          <w:rFonts w:asciiTheme="minorHAnsi" w:hAnsiTheme="minorHAnsi" w:cstheme="minorHAnsi"/>
          <w:color w:val="auto"/>
          <w:sz w:val="22"/>
          <w:szCs w:val="22"/>
        </w:rPr>
        <w:t>à</w:t>
      </w:r>
      <w:r w:rsidR="00031B55">
        <w:rPr>
          <w:rFonts w:asciiTheme="minorHAnsi" w:hAnsiTheme="minorHAnsi" w:cstheme="minorHAnsi"/>
          <w:color w:val="auto"/>
          <w:sz w:val="22"/>
          <w:szCs w:val="22"/>
        </w:rPr>
        <w:t xml:space="preserve"> limpeza urbana</w:t>
      </w:r>
      <w:r w:rsidRPr="002D0EA3">
        <w:rPr>
          <w:rFonts w:asciiTheme="minorHAnsi" w:hAnsiTheme="minorHAnsi" w:cstheme="minorHAnsi"/>
          <w:color w:val="auto"/>
          <w:sz w:val="22"/>
          <w:szCs w:val="22"/>
        </w:rPr>
        <w:t>.</w:t>
      </w:r>
    </w:p>
    <w:p w14:paraId="63993491" w14:textId="473E3DEC" w:rsidR="005275F5" w:rsidRPr="002D0EA3" w:rsidRDefault="005275F5"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Desse modo, a competência para a iniciativa do projeto é </w:t>
      </w:r>
      <w:r w:rsidR="00031B55">
        <w:rPr>
          <w:rFonts w:asciiTheme="minorHAnsi" w:hAnsiTheme="minorHAnsi" w:cstheme="minorHAnsi"/>
          <w:color w:val="auto"/>
          <w:sz w:val="22"/>
          <w:szCs w:val="22"/>
        </w:rPr>
        <w:t>concorrente</w:t>
      </w:r>
      <w:r w:rsidR="007E6108">
        <w:rPr>
          <w:rFonts w:asciiTheme="minorHAnsi" w:hAnsiTheme="minorHAnsi" w:cstheme="minorHAnsi"/>
          <w:color w:val="auto"/>
          <w:sz w:val="22"/>
          <w:szCs w:val="22"/>
        </w:rPr>
        <w:t xml:space="preserve"> entre </w:t>
      </w:r>
      <w:r w:rsidRPr="002D0EA3">
        <w:rPr>
          <w:rFonts w:asciiTheme="minorHAnsi" w:hAnsiTheme="minorHAnsi" w:cstheme="minorHAnsi"/>
          <w:color w:val="auto"/>
          <w:sz w:val="22"/>
          <w:szCs w:val="22"/>
        </w:rPr>
        <w:t>o Prefeito Municipal</w:t>
      </w:r>
      <w:r w:rsidR="007E6108">
        <w:rPr>
          <w:rFonts w:asciiTheme="minorHAnsi" w:hAnsiTheme="minorHAnsi" w:cstheme="minorHAnsi"/>
          <w:color w:val="auto"/>
          <w:sz w:val="22"/>
          <w:szCs w:val="22"/>
        </w:rPr>
        <w:t xml:space="preserve"> e os Parlamentares</w:t>
      </w:r>
      <w:r w:rsidRPr="002D0EA3">
        <w:rPr>
          <w:rFonts w:asciiTheme="minorHAnsi" w:hAnsiTheme="minorHAnsi" w:cstheme="minorHAnsi"/>
          <w:color w:val="auto"/>
          <w:sz w:val="22"/>
          <w:szCs w:val="22"/>
        </w:rPr>
        <w:t xml:space="preserve">, </w:t>
      </w:r>
      <w:r w:rsidR="00BF31EF" w:rsidRPr="002D0EA3">
        <w:rPr>
          <w:rFonts w:asciiTheme="minorHAnsi" w:hAnsiTheme="minorHAnsi" w:cstheme="minorHAnsi"/>
          <w:color w:val="auto"/>
          <w:sz w:val="22"/>
          <w:szCs w:val="22"/>
        </w:rPr>
        <w:t>por aplicação simétrica ao ente municipal</w:t>
      </w:r>
      <w:r w:rsidR="00BF31EF" w:rsidRPr="002D0EA3">
        <w:rPr>
          <w:rFonts w:asciiTheme="minorHAnsi" w:hAnsiTheme="minorHAnsi" w:cstheme="minorHAnsi"/>
          <w:color w:val="auto"/>
          <w:sz w:val="22"/>
          <w:szCs w:val="22"/>
        </w:rPr>
        <w:t xml:space="preserve"> do que dispõem o</w:t>
      </w:r>
      <w:r w:rsidRPr="002D0EA3">
        <w:rPr>
          <w:rFonts w:asciiTheme="minorHAnsi" w:hAnsiTheme="minorHAnsi" w:cstheme="minorHAnsi"/>
          <w:color w:val="auto"/>
          <w:sz w:val="22"/>
          <w:szCs w:val="22"/>
        </w:rPr>
        <w:t xml:space="preserve"> art. 61, §1º, da Constituição da República</w:t>
      </w:r>
      <w:r w:rsidR="00BF31EF" w:rsidRPr="002D0EA3">
        <w:rPr>
          <w:rFonts w:asciiTheme="minorHAnsi" w:hAnsiTheme="minorHAnsi" w:cstheme="minorHAnsi"/>
          <w:color w:val="auto"/>
          <w:sz w:val="22"/>
          <w:szCs w:val="22"/>
        </w:rPr>
        <w:t xml:space="preserve"> e</w:t>
      </w:r>
      <w:r w:rsidR="00225415" w:rsidRPr="002D0EA3">
        <w:rPr>
          <w:rFonts w:asciiTheme="minorHAnsi" w:hAnsiTheme="minorHAnsi" w:cstheme="minorHAnsi"/>
          <w:color w:val="auto"/>
          <w:sz w:val="22"/>
          <w:szCs w:val="22"/>
        </w:rPr>
        <w:t xml:space="preserve"> </w:t>
      </w:r>
      <w:r w:rsidR="00BF31EF" w:rsidRPr="002D0EA3">
        <w:rPr>
          <w:rFonts w:asciiTheme="minorHAnsi" w:hAnsiTheme="minorHAnsi" w:cstheme="minorHAnsi"/>
          <w:color w:val="auto"/>
          <w:sz w:val="22"/>
          <w:szCs w:val="22"/>
        </w:rPr>
        <w:t xml:space="preserve">o </w:t>
      </w:r>
      <w:r w:rsidR="00225415" w:rsidRPr="002D0EA3">
        <w:rPr>
          <w:rFonts w:asciiTheme="minorHAnsi" w:hAnsiTheme="minorHAnsi" w:cstheme="minorHAnsi"/>
          <w:color w:val="auto"/>
          <w:sz w:val="22"/>
          <w:szCs w:val="22"/>
        </w:rPr>
        <w:t>art. 66,</w:t>
      </w:r>
      <w:r w:rsidRPr="002D0EA3">
        <w:rPr>
          <w:rFonts w:asciiTheme="minorHAnsi" w:hAnsiTheme="minorHAnsi" w:cstheme="minorHAnsi"/>
          <w:color w:val="auto"/>
          <w:sz w:val="22"/>
          <w:szCs w:val="22"/>
        </w:rPr>
        <w:t xml:space="preserve"> </w:t>
      </w:r>
      <w:r w:rsidR="00225415" w:rsidRPr="002D0EA3">
        <w:rPr>
          <w:rFonts w:asciiTheme="minorHAnsi" w:hAnsiTheme="minorHAnsi" w:cstheme="minorHAnsi"/>
          <w:color w:val="auto"/>
          <w:sz w:val="22"/>
          <w:szCs w:val="22"/>
        </w:rPr>
        <w:t>III, da Constituição Estadual</w:t>
      </w:r>
      <w:r w:rsidR="00BF31EF" w:rsidRPr="002D0EA3">
        <w:rPr>
          <w:rFonts w:asciiTheme="minorHAnsi" w:hAnsiTheme="minorHAnsi" w:cstheme="minorHAnsi"/>
          <w:color w:val="auto"/>
          <w:sz w:val="22"/>
          <w:szCs w:val="22"/>
        </w:rPr>
        <w:t>, além de aplicação direta do comando do art. 80, II, da Lei Orgânica Municipal.</w:t>
      </w:r>
    </w:p>
    <w:p w14:paraId="4E68951D" w14:textId="4E450C9F" w:rsidR="003F25DB" w:rsidRPr="002D0EA3" w:rsidRDefault="00BF31EF" w:rsidP="00BD5812">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Não há controvérsias nesse ponto, havendo perfeito alinhamento entre os diplomas dos diferentes entes, assim como prescreve o Supremo Tribunal Federal (Tema 917 - </w:t>
      </w:r>
      <w:r w:rsidRPr="002D0EA3">
        <w:rPr>
          <w:rFonts w:asciiTheme="minorHAnsi" w:hAnsiTheme="minorHAnsi" w:cstheme="minorHAnsi"/>
          <w:color w:val="auto"/>
          <w:sz w:val="22"/>
          <w:szCs w:val="22"/>
        </w:rPr>
        <w:t>Repercussão Geral</w:t>
      </w:r>
      <w:r w:rsidRPr="002D0EA3">
        <w:rPr>
          <w:rFonts w:asciiTheme="minorHAnsi" w:hAnsiTheme="minorHAnsi" w:cstheme="minorHAnsi"/>
          <w:color w:val="auto"/>
          <w:sz w:val="22"/>
          <w:szCs w:val="22"/>
        </w:rPr>
        <w:t>).</w:t>
      </w:r>
    </w:p>
    <w:p w14:paraId="164B7658" w14:textId="6A5932EB" w:rsidR="00103581" w:rsidRPr="002D0EA3" w:rsidRDefault="00D4022E" w:rsidP="00BF31EF">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color w:val="auto"/>
          <w:sz w:val="22"/>
          <w:szCs w:val="22"/>
        </w:rPr>
        <w:lastRenderedPageBreak/>
        <w:tab/>
      </w:r>
    </w:p>
    <w:p w14:paraId="0FB75FD2" w14:textId="1EBEC074" w:rsidR="00103581" w:rsidRPr="002D0EA3" w:rsidRDefault="00103581" w:rsidP="00103581">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b) Tipo de proposição </w:t>
      </w:r>
      <w:r w:rsidR="001F7468" w:rsidRPr="002D0EA3">
        <w:rPr>
          <w:rFonts w:asciiTheme="minorHAnsi" w:hAnsiTheme="minorHAnsi" w:cstheme="minorHAnsi"/>
          <w:b/>
          <w:bCs/>
          <w:color w:val="auto"/>
          <w:sz w:val="22"/>
          <w:szCs w:val="22"/>
        </w:rPr>
        <w:t>e quórum de aprovação</w:t>
      </w:r>
    </w:p>
    <w:p w14:paraId="061F66DF" w14:textId="50D18DB0" w:rsidR="00D6171E" w:rsidRPr="002D0EA3" w:rsidRDefault="007E6108" w:rsidP="00103581">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00D6171E" w:rsidRPr="002D0EA3">
        <w:rPr>
          <w:rFonts w:asciiTheme="minorHAnsi" w:hAnsiTheme="minorHAnsi" w:cstheme="minorHAnsi"/>
          <w:color w:val="auto"/>
          <w:sz w:val="22"/>
          <w:szCs w:val="22"/>
        </w:rPr>
        <w:t>abe-se que, conforme entendimento do STF (</w:t>
      </w:r>
      <w:r w:rsidR="00DF6577" w:rsidRPr="002D0EA3">
        <w:rPr>
          <w:rFonts w:asciiTheme="minorHAnsi" w:hAnsiTheme="minorHAnsi" w:cstheme="minorHAnsi"/>
          <w:color w:val="auto"/>
          <w:sz w:val="22"/>
          <w:szCs w:val="22"/>
        </w:rPr>
        <w:t>ADI 5003, ADI 2926, ADI 789</w:t>
      </w:r>
      <w:r w:rsidR="00D6171E" w:rsidRPr="002D0EA3">
        <w:rPr>
          <w:rFonts w:asciiTheme="minorHAnsi" w:hAnsiTheme="minorHAnsi" w:cstheme="minorHAnsi"/>
          <w:color w:val="auto"/>
          <w:sz w:val="22"/>
          <w:szCs w:val="22"/>
        </w:rPr>
        <w:t xml:space="preserve">), estão previstas na Carta Magna as matérias para as quais o constituinte decidiu garantir maior quórum para a sua aprovação, apresentando-as como assuntos de lei complementar, não devendo os entes estaduais e municipais ampliar tal rol, sob pena de </w:t>
      </w:r>
      <w:r w:rsidR="00DF6577" w:rsidRPr="002D0EA3">
        <w:rPr>
          <w:rFonts w:asciiTheme="minorHAnsi" w:hAnsiTheme="minorHAnsi" w:cstheme="minorHAnsi"/>
          <w:color w:val="auto"/>
          <w:sz w:val="22"/>
          <w:szCs w:val="22"/>
        </w:rPr>
        <w:t>restringir</w:t>
      </w:r>
      <w:r w:rsidR="00D6171E" w:rsidRPr="002D0EA3">
        <w:rPr>
          <w:rFonts w:asciiTheme="minorHAnsi" w:hAnsiTheme="minorHAnsi" w:cstheme="minorHAnsi"/>
          <w:color w:val="auto"/>
          <w:sz w:val="22"/>
          <w:szCs w:val="22"/>
        </w:rPr>
        <w:t xml:space="preserve"> o princípio da suficiência da maioria.</w:t>
      </w:r>
    </w:p>
    <w:p w14:paraId="09483E9E" w14:textId="6F9BDE17" w:rsidR="00D6171E" w:rsidRPr="002D0EA3" w:rsidRDefault="00D6171E" w:rsidP="00103581">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Dito isso, não se verifica na Constituição da República prescrição especial de espécie normativa para </w:t>
      </w:r>
      <w:r w:rsidR="007E6108">
        <w:rPr>
          <w:rFonts w:asciiTheme="minorHAnsi" w:hAnsiTheme="minorHAnsi" w:cstheme="minorHAnsi"/>
          <w:color w:val="auto"/>
          <w:sz w:val="22"/>
          <w:szCs w:val="22"/>
        </w:rPr>
        <w:t>regulamentar questões relativas a limpeza urbana e destinação adequada de resíduos</w:t>
      </w:r>
      <w:r w:rsidRPr="002D0EA3">
        <w:rPr>
          <w:rFonts w:asciiTheme="minorHAnsi" w:hAnsiTheme="minorHAnsi" w:cstheme="minorHAnsi"/>
          <w:color w:val="auto"/>
          <w:sz w:val="22"/>
          <w:szCs w:val="22"/>
        </w:rPr>
        <w:t xml:space="preserve">, caso em que se aplica a regra geral da lei ordinária. </w:t>
      </w:r>
    </w:p>
    <w:p w14:paraId="37D66755" w14:textId="49A41C61" w:rsidR="00BF31EF" w:rsidRPr="002D0EA3" w:rsidRDefault="00727309" w:rsidP="00103581">
      <w:pPr>
        <w:pStyle w:val="Default"/>
        <w:spacing w:line="276" w:lineRule="auto"/>
        <w:ind w:firstLine="1134"/>
        <w:jc w:val="both"/>
        <w:rPr>
          <w:rFonts w:asciiTheme="minorHAnsi" w:hAnsiTheme="minorHAnsi" w:cstheme="minorHAnsi"/>
          <w:strike/>
          <w:color w:val="auto"/>
          <w:sz w:val="22"/>
          <w:szCs w:val="22"/>
        </w:rPr>
      </w:pPr>
      <w:r w:rsidRPr="002D0EA3">
        <w:rPr>
          <w:rFonts w:asciiTheme="minorHAnsi" w:hAnsiTheme="minorHAnsi" w:cstheme="minorHAnsi"/>
          <w:color w:val="auto"/>
          <w:sz w:val="22"/>
          <w:szCs w:val="22"/>
        </w:rPr>
        <w:t>Nesse tópico, também n</w:t>
      </w:r>
      <w:r w:rsidRPr="002D0EA3">
        <w:rPr>
          <w:rFonts w:asciiTheme="minorHAnsi" w:hAnsiTheme="minorHAnsi" w:cstheme="minorHAnsi"/>
          <w:color w:val="auto"/>
          <w:sz w:val="22"/>
          <w:szCs w:val="22"/>
        </w:rPr>
        <w:t xml:space="preserve">ão há controvérsias, </w:t>
      </w:r>
      <w:r w:rsidRPr="002D0EA3">
        <w:rPr>
          <w:rFonts w:asciiTheme="minorHAnsi" w:hAnsiTheme="minorHAnsi" w:cstheme="minorHAnsi"/>
          <w:color w:val="auto"/>
          <w:sz w:val="22"/>
          <w:szCs w:val="22"/>
        </w:rPr>
        <w:t>por se verificar p</w:t>
      </w:r>
      <w:r w:rsidRPr="002D0EA3">
        <w:rPr>
          <w:rFonts w:asciiTheme="minorHAnsi" w:hAnsiTheme="minorHAnsi" w:cstheme="minorHAnsi"/>
          <w:color w:val="auto"/>
          <w:sz w:val="22"/>
          <w:szCs w:val="22"/>
        </w:rPr>
        <w:t>erfeito alinhamento entre os diplomas dos diferentes entes</w:t>
      </w:r>
      <w:r w:rsidR="00DF6577" w:rsidRPr="002D0EA3">
        <w:rPr>
          <w:rFonts w:asciiTheme="minorHAnsi" w:hAnsiTheme="minorHAnsi" w:cstheme="minorHAnsi"/>
          <w:color w:val="auto"/>
          <w:sz w:val="22"/>
          <w:szCs w:val="22"/>
        </w:rPr>
        <w:t>, como a Constituição do Estado de Minas Gerais, a Lei Orgânica Municipal e o Regimento Interno desta Casa</w:t>
      </w:r>
      <w:r w:rsidRPr="002D0EA3">
        <w:rPr>
          <w:rFonts w:asciiTheme="minorHAnsi" w:hAnsiTheme="minorHAnsi" w:cstheme="minorHAnsi"/>
          <w:color w:val="auto"/>
          <w:sz w:val="22"/>
          <w:szCs w:val="22"/>
        </w:rPr>
        <w:t xml:space="preserve">, assim como prescreve o Supremo Tribunal Federal </w:t>
      </w:r>
      <w:r w:rsidR="00DF6577" w:rsidRPr="002D0EA3">
        <w:rPr>
          <w:rFonts w:asciiTheme="minorHAnsi" w:hAnsiTheme="minorHAnsi" w:cstheme="minorHAnsi"/>
          <w:color w:val="auto"/>
          <w:sz w:val="22"/>
          <w:szCs w:val="22"/>
        </w:rPr>
        <w:t>(ADI 5003, ADI 2926, ADI 789)</w:t>
      </w:r>
      <w:r w:rsidR="00DF6577" w:rsidRPr="002D0EA3">
        <w:rPr>
          <w:rFonts w:asciiTheme="minorHAnsi" w:hAnsiTheme="minorHAnsi" w:cstheme="minorHAnsi"/>
          <w:color w:val="auto"/>
          <w:sz w:val="22"/>
          <w:szCs w:val="22"/>
        </w:rPr>
        <w:t>.</w:t>
      </w:r>
    </w:p>
    <w:p w14:paraId="31DE6EBD" w14:textId="77777777" w:rsidR="00103581" w:rsidRPr="002D0EA3" w:rsidRDefault="00103581" w:rsidP="00103581">
      <w:pPr>
        <w:pStyle w:val="Default"/>
        <w:spacing w:line="276" w:lineRule="auto"/>
        <w:ind w:firstLine="1134"/>
        <w:jc w:val="both"/>
        <w:rPr>
          <w:rFonts w:asciiTheme="minorHAnsi" w:hAnsiTheme="minorHAnsi" w:cstheme="minorHAnsi"/>
          <w:color w:val="auto"/>
          <w:sz w:val="22"/>
          <w:szCs w:val="22"/>
        </w:rPr>
      </w:pPr>
    </w:p>
    <w:p w14:paraId="7CC9A618" w14:textId="77777777" w:rsidR="00C776E5" w:rsidRPr="002D0EA3" w:rsidRDefault="00C776E5" w:rsidP="00C776E5">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II.II DOS ASPECTOS PROCEDIMENTAIS</w:t>
      </w:r>
    </w:p>
    <w:p w14:paraId="5EF5DCF4"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 análise dos aspectos procedimentais é essencial para verificar se o projeto segue corretamente o Regimento Interno da Câmara Municipal, bem como normas superiores. Desse modo, tem o sentido de orientar esta Casa Legislativa, assegurar a regularidade da proposta e garantir a segurança jurídica.</w:t>
      </w:r>
    </w:p>
    <w:p w14:paraId="192A6EC2"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p>
    <w:p w14:paraId="0BE7D475"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a) Regime de tramitação </w:t>
      </w:r>
    </w:p>
    <w:p w14:paraId="3BD518F7" w14:textId="5E768359" w:rsidR="00C776E5" w:rsidRDefault="007E6108" w:rsidP="00C776E5">
      <w:pPr>
        <w:pStyle w:val="Default"/>
        <w:spacing w:line="276" w:lineRule="auto"/>
        <w:ind w:firstLine="1134"/>
        <w:jc w:val="both"/>
        <w:rPr>
          <w:rFonts w:asciiTheme="minorHAnsi" w:hAnsiTheme="minorHAnsi" w:cstheme="minorHAnsi"/>
          <w:color w:val="auto"/>
          <w:sz w:val="22"/>
          <w:szCs w:val="22"/>
        </w:rPr>
      </w:pPr>
      <w:r w:rsidRPr="007E6108">
        <w:rPr>
          <w:rFonts w:asciiTheme="minorHAnsi" w:hAnsiTheme="minorHAnsi" w:cstheme="minorHAnsi"/>
          <w:color w:val="auto"/>
          <w:sz w:val="22"/>
          <w:szCs w:val="22"/>
        </w:rPr>
        <w:t>Sobre o procedimento e regime de tramitação, tendo tido iniciativa de Parlamentar, sem aplicação de regime de urgência ou outro regime especial, o Projeto seguirá o rito ordinário, conforme o disposto na Seção VI, do Título IV da Lei Orgânica Municipal e nos Títulos V e VI do Regimento Interno da Câmara Municipal, em aplicação por simetria do disposto na Seção VIII, Capítulo I do Título IV da Constituição da República.</w:t>
      </w:r>
    </w:p>
    <w:p w14:paraId="39A82774" w14:textId="77777777" w:rsidR="008723A8" w:rsidRPr="008723A8" w:rsidRDefault="008723A8" w:rsidP="008723A8">
      <w:pPr>
        <w:pStyle w:val="Default"/>
        <w:spacing w:line="276" w:lineRule="auto"/>
        <w:ind w:firstLine="1134"/>
        <w:jc w:val="both"/>
        <w:rPr>
          <w:rFonts w:asciiTheme="minorHAnsi" w:hAnsiTheme="minorHAnsi" w:cstheme="minorHAnsi"/>
          <w:color w:val="auto"/>
          <w:sz w:val="22"/>
          <w:szCs w:val="22"/>
        </w:rPr>
      </w:pPr>
      <w:r w:rsidRPr="008723A8">
        <w:rPr>
          <w:rFonts w:asciiTheme="minorHAnsi" w:hAnsiTheme="minorHAnsi" w:cstheme="minorHAnsi"/>
          <w:color w:val="auto"/>
          <w:sz w:val="22"/>
          <w:szCs w:val="22"/>
        </w:rPr>
        <w:t xml:space="preserve">Assim, para a aprovação do Projeto em análise serão necessários os votos da </w:t>
      </w:r>
      <w:r w:rsidRPr="008723A8">
        <w:rPr>
          <w:rFonts w:asciiTheme="minorHAnsi" w:hAnsiTheme="minorHAnsi" w:cstheme="minorHAnsi"/>
          <w:color w:val="auto"/>
          <w:sz w:val="22"/>
          <w:szCs w:val="22"/>
          <w:u w:val="single"/>
        </w:rPr>
        <w:t>maioria simples</w:t>
      </w:r>
      <w:r w:rsidRPr="008723A8">
        <w:rPr>
          <w:rFonts w:asciiTheme="minorHAnsi" w:hAnsiTheme="minorHAnsi" w:cstheme="minorHAnsi"/>
          <w:color w:val="auto"/>
          <w:sz w:val="22"/>
          <w:szCs w:val="22"/>
        </w:rPr>
        <w:t xml:space="preserve"> dos membros da Casa (art. 153, RI; art. 66, LOM) em </w:t>
      </w:r>
      <w:r w:rsidRPr="008723A8">
        <w:rPr>
          <w:rFonts w:asciiTheme="minorHAnsi" w:hAnsiTheme="minorHAnsi" w:cstheme="minorHAnsi"/>
          <w:color w:val="auto"/>
          <w:sz w:val="22"/>
          <w:szCs w:val="22"/>
          <w:u w:val="single"/>
        </w:rPr>
        <w:t>dois turnos</w:t>
      </w:r>
      <w:r w:rsidRPr="008723A8">
        <w:rPr>
          <w:rFonts w:asciiTheme="minorHAnsi" w:hAnsiTheme="minorHAnsi" w:cstheme="minorHAnsi"/>
          <w:color w:val="auto"/>
          <w:sz w:val="22"/>
          <w:szCs w:val="22"/>
        </w:rPr>
        <w:t xml:space="preserve"> de votação (art. 137, RI). É importante ressaltar que o Presidente da Mesa Diretora participa da votação apenas no caso de empate. </w:t>
      </w:r>
    </w:p>
    <w:p w14:paraId="02FE6F13" w14:textId="77777777" w:rsidR="008723A8" w:rsidRPr="008723A8" w:rsidRDefault="008723A8" w:rsidP="008723A8">
      <w:pPr>
        <w:pStyle w:val="Default"/>
        <w:spacing w:line="276" w:lineRule="auto"/>
        <w:ind w:firstLine="1134"/>
        <w:jc w:val="both"/>
        <w:rPr>
          <w:rFonts w:asciiTheme="minorHAnsi" w:hAnsiTheme="minorHAnsi" w:cstheme="minorHAnsi"/>
          <w:color w:val="auto"/>
          <w:sz w:val="22"/>
          <w:szCs w:val="22"/>
        </w:rPr>
      </w:pPr>
      <w:r w:rsidRPr="008723A8">
        <w:rPr>
          <w:rFonts w:asciiTheme="minorHAnsi" w:hAnsiTheme="minorHAnsi" w:cstheme="minorHAnsi"/>
          <w:color w:val="auto"/>
          <w:sz w:val="22"/>
          <w:szCs w:val="22"/>
        </w:rPr>
        <w:t xml:space="preserve">Ainda, deve o projeto receber </w:t>
      </w:r>
      <w:r w:rsidRPr="008723A8">
        <w:rPr>
          <w:rFonts w:asciiTheme="minorHAnsi" w:hAnsiTheme="minorHAnsi" w:cstheme="minorHAnsi"/>
          <w:color w:val="auto"/>
          <w:sz w:val="22"/>
          <w:szCs w:val="22"/>
          <w:u w:val="single"/>
        </w:rPr>
        <w:t>parecer das comissões permanentes</w:t>
      </w:r>
      <w:r w:rsidRPr="008723A8">
        <w:rPr>
          <w:rFonts w:asciiTheme="minorHAnsi" w:hAnsiTheme="minorHAnsi" w:cstheme="minorHAnsi"/>
          <w:color w:val="auto"/>
          <w:sz w:val="22"/>
          <w:szCs w:val="22"/>
        </w:rPr>
        <w:t xml:space="preserve"> antes de seguir para deliberação e votação (</w:t>
      </w:r>
      <w:proofErr w:type="spellStart"/>
      <w:r w:rsidRPr="008723A8">
        <w:rPr>
          <w:rFonts w:asciiTheme="minorHAnsi" w:hAnsiTheme="minorHAnsi" w:cstheme="minorHAnsi"/>
          <w:color w:val="auto"/>
          <w:sz w:val="22"/>
          <w:szCs w:val="22"/>
        </w:rPr>
        <w:t>arts</w:t>
      </w:r>
      <w:proofErr w:type="spellEnd"/>
      <w:r w:rsidRPr="008723A8">
        <w:rPr>
          <w:rFonts w:asciiTheme="minorHAnsi" w:hAnsiTheme="minorHAnsi" w:cstheme="minorHAnsi"/>
          <w:color w:val="auto"/>
          <w:sz w:val="22"/>
          <w:szCs w:val="22"/>
        </w:rPr>
        <w:t>. 58, 62, 77 e 87 a 89, RI; art. 74, LOM).</w:t>
      </w:r>
    </w:p>
    <w:p w14:paraId="4196C553" w14:textId="77777777" w:rsidR="007E6108" w:rsidRPr="002D0EA3" w:rsidRDefault="007E6108" w:rsidP="00C776E5">
      <w:pPr>
        <w:pStyle w:val="Default"/>
        <w:spacing w:line="276" w:lineRule="auto"/>
        <w:ind w:firstLine="1134"/>
        <w:jc w:val="both"/>
        <w:rPr>
          <w:rFonts w:asciiTheme="minorHAnsi" w:hAnsiTheme="minorHAnsi" w:cstheme="minorHAnsi"/>
          <w:color w:val="auto"/>
          <w:sz w:val="22"/>
          <w:szCs w:val="22"/>
        </w:rPr>
      </w:pPr>
    </w:p>
    <w:p w14:paraId="64BD3F88"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b) Similaridade</w:t>
      </w:r>
    </w:p>
    <w:p w14:paraId="4B3B33E6"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Dispõe o §3º do art. 118 do Regimento Interno que vereador não poderá apresentar proposição que guarde identidade ou semelhança com outra em tramitação. Não tendo sido encontradas proposições nesse sentido, não se aplica o referido óbice ao caso.</w:t>
      </w:r>
    </w:p>
    <w:p w14:paraId="3942E32F"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p>
    <w:p w14:paraId="561259BD"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c) Prejudicialidade e aceitação</w:t>
      </w:r>
    </w:p>
    <w:p w14:paraId="73D49F40"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Conforme o art. 45, IX, do Regimento Interno, o Presidente da Casa pode impugnar proposições que lhe pareçam contrárias à Constituição da República, à Constituição Estadual, à </w:t>
      </w:r>
      <w:r w:rsidRPr="002D0EA3">
        <w:rPr>
          <w:rFonts w:asciiTheme="minorHAnsi" w:hAnsiTheme="minorHAnsi" w:cstheme="minorHAnsi"/>
          <w:color w:val="auto"/>
          <w:sz w:val="22"/>
          <w:szCs w:val="22"/>
        </w:rPr>
        <w:lastRenderedPageBreak/>
        <w:t>Lei Orgânica e ao Regimento Interno. Nesse caso, será declarada a prejudicialidade do projeto, sendo assegurado ao autor a apresentação de recurso para o plenário.</w:t>
      </w:r>
    </w:p>
    <w:p w14:paraId="3EEE4420"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Por sua vez, o art. 133 do RI estabelece as hipóteses em que o Presidente não aceitará proposição, por apresentar vícios. </w:t>
      </w:r>
    </w:p>
    <w:p w14:paraId="020856D6" w14:textId="55B84C6D" w:rsidR="00C776E5"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Conforme análise acima, salvo melhor juízo, a proposição em estudo não apresenta qualquer contrariedade aos citados diplomas, não se aplicando a possibilidade de declaração de prejudicialidade pelo Presidente da Casa, nem apresenta vícios passíveis de impedir a sua aceitação.</w:t>
      </w:r>
    </w:p>
    <w:p w14:paraId="5C8CAD55"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p>
    <w:p w14:paraId="14F7FA74"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d) Técnica legislativa</w:t>
      </w:r>
    </w:p>
    <w:p w14:paraId="398AF6A7" w14:textId="77777777" w:rsidR="00DF6577" w:rsidRPr="002D0EA3" w:rsidRDefault="00DF6577" w:rsidP="00DF6577">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Sobre a técnica legislativa, observa-se que a proposição se encontra em conformidade com a legislação aplicável, especialmente a Lei Complementar Municipal nº 110/2024 e o art. 116 do Regimento Interno desta Casa, tendo sido redigida em termos claros, objetivos e concisos, observando a ortografia oficial, com subscrição de seus autores e apresentação de justificativa.</w:t>
      </w:r>
    </w:p>
    <w:p w14:paraId="4D8676A6" w14:textId="77777777" w:rsidR="002D3D3B" w:rsidRPr="002D0EA3" w:rsidRDefault="002D3D3B" w:rsidP="00D93250">
      <w:pPr>
        <w:pStyle w:val="Default"/>
        <w:spacing w:line="276" w:lineRule="auto"/>
        <w:jc w:val="both"/>
        <w:rPr>
          <w:rFonts w:asciiTheme="minorHAnsi" w:hAnsiTheme="minorHAnsi" w:cstheme="minorHAnsi"/>
          <w:b/>
          <w:bCs/>
          <w:color w:val="auto"/>
          <w:sz w:val="22"/>
          <w:szCs w:val="22"/>
        </w:rPr>
      </w:pPr>
    </w:p>
    <w:p w14:paraId="201EB725" w14:textId="35CDE666" w:rsidR="007E0FCA" w:rsidRPr="002D0EA3" w:rsidRDefault="00103581"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I. </w:t>
      </w:r>
      <w:r w:rsidR="00C776E5" w:rsidRPr="002D0EA3">
        <w:rPr>
          <w:rFonts w:asciiTheme="minorHAnsi" w:hAnsiTheme="minorHAnsi" w:cstheme="minorHAnsi"/>
          <w:b/>
          <w:bCs/>
          <w:color w:val="auto"/>
          <w:sz w:val="22"/>
          <w:szCs w:val="22"/>
        </w:rPr>
        <w:t>I</w:t>
      </w:r>
      <w:r w:rsidR="002D3D3B" w:rsidRPr="002D0EA3">
        <w:rPr>
          <w:rFonts w:asciiTheme="minorHAnsi" w:hAnsiTheme="minorHAnsi" w:cstheme="minorHAnsi"/>
          <w:b/>
          <w:bCs/>
          <w:color w:val="auto"/>
          <w:sz w:val="22"/>
          <w:szCs w:val="22"/>
        </w:rPr>
        <w:t>II DOS ASPECTOS MATERIAIS</w:t>
      </w:r>
    </w:p>
    <w:p w14:paraId="5179A423" w14:textId="78ECC711" w:rsidR="00940132" w:rsidRPr="002D0EA3" w:rsidRDefault="00940132"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Os aspectos materiais da proposição do processo legislativo referem-se ao seu conteúdo</w:t>
      </w:r>
      <w:r w:rsidR="00491D3F" w:rsidRPr="002D0EA3">
        <w:rPr>
          <w:rFonts w:asciiTheme="minorHAnsi" w:hAnsiTheme="minorHAnsi" w:cstheme="minorHAnsi"/>
          <w:color w:val="auto"/>
          <w:sz w:val="22"/>
          <w:szCs w:val="22"/>
        </w:rPr>
        <w:t xml:space="preserve">, analisando se existe autorização na Constituição da República para o Município tratar sobre a matéria e se inexiste eventual </w:t>
      </w:r>
      <w:r w:rsidRPr="002D0EA3">
        <w:rPr>
          <w:rFonts w:asciiTheme="minorHAnsi" w:hAnsiTheme="minorHAnsi" w:cstheme="minorHAnsi"/>
          <w:color w:val="auto"/>
          <w:sz w:val="22"/>
          <w:szCs w:val="22"/>
        </w:rPr>
        <w:t>violação a princípios, direitos e garantias assegurados no ordenamento jurídico brasileiro.</w:t>
      </w:r>
    </w:p>
    <w:p w14:paraId="45AEF4AB" w14:textId="77777777" w:rsidR="00940132" w:rsidRPr="002D0EA3" w:rsidRDefault="00940132" w:rsidP="00D93250">
      <w:pPr>
        <w:pStyle w:val="Default"/>
        <w:spacing w:line="276" w:lineRule="auto"/>
        <w:ind w:firstLine="1134"/>
        <w:jc w:val="both"/>
        <w:rPr>
          <w:rFonts w:asciiTheme="minorHAnsi" w:hAnsiTheme="minorHAnsi" w:cstheme="minorHAnsi"/>
          <w:color w:val="FF0000"/>
          <w:sz w:val="22"/>
          <w:szCs w:val="22"/>
        </w:rPr>
      </w:pPr>
    </w:p>
    <w:p w14:paraId="4E899392" w14:textId="67E270EF" w:rsidR="00E03F65" w:rsidRDefault="00FE37F9" w:rsidP="00E03F6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O Projeto de Lei em questão visa </w:t>
      </w:r>
      <w:r w:rsidR="008723A8">
        <w:rPr>
          <w:rFonts w:asciiTheme="minorHAnsi" w:hAnsiTheme="minorHAnsi" w:cstheme="minorHAnsi"/>
          <w:color w:val="auto"/>
          <w:sz w:val="22"/>
          <w:szCs w:val="22"/>
        </w:rPr>
        <w:t>dar destinação ambientalmente adequada a resíduos classificados como:</w:t>
      </w:r>
    </w:p>
    <w:p w14:paraId="398EB26F" w14:textId="3DD376D9" w:rsidR="008723A8" w:rsidRPr="008723A8" w:rsidRDefault="008723A8" w:rsidP="008723A8">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 – entulho: </w:t>
      </w:r>
      <w:r w:rsidRPr="008723A8">
        <w:rPr>
          <w:rFonts w:asciiTheme="minorHAnsi" w:hAnsiTheme="minorHAnsi" w:cstheme="minorHAnsi"/>
          <w:color w:val="auto"/>
          <w:sz w:val="22"/>
          <w:szCs w:val="22"/>
        </w:rPr>
        <w:t>resíduos provenientes de construções, reformas, reparos e demolições de obras de construção civil e os resultantes da preparação e da escavação de terrenos ou de desabamentos;</w:t>
      </w:r>
    </w:p>
    <w:p w14:paraId="3260189A" w14:textId="77777777" w:rsidR="008723A8" w:rsidRPr="008723A8" w:rsidRDefault="008723A8" w:rsidP="008723A8">
      <w:pPr>
        <w:pStyle w:val="Default"/>
        <w:spacing w:line="276" w:lineRule="auto"/>
        <w:ind w:firstLine="1134"/>
        <w:jc w:val="both"/>
        <w:rPr>
          <w:rFonts w:asciiTheme="minorHAnsi" w:hAnsiTheme="minorHAnsi" w:cstheme="minorHAnsi"/>
          <w:color w:val="auto"/>
          <w:sz w:val="22"/>
          <w:szCs w:val="22"/>
        </w:rPr>
      </w:pPr>
      <w:r w:rsidRPr="008723A8">
        <w:rPr>
          <w:rFonts w:asciiTheme="minorHAnsi" w:hAnsiTheme="minorHAnsi" w:cstheme="minorHAnsi"/>
          <w:color w:val="auto"/>
          <w:sz w:val="22"/>
          <w:szCs w:val="22"/>
        </w:rPr>
        <w:t>II – resíduo de grande porte: materiais volumosos que não se encaixem nas categorias tradicionais de resíduos, como móveis, estofados, colchões, restos de materiais, entre outros;</w:t>
      </w:r>
    </w:p>
    <w:p w14:paraId="07CB40E9" w14:textId="1A8AFB1F" w:rsidR="008723A8" w:rsidRPr="002D0EA3" w:rsidRDefault="008723A8" w:rsidP="008723A8">
      <w:pPr>
        <w:pStyle w:val="Default"/>
        <w:spacing w:line="276" w:lineRule="auto"/>
        <w:ind w:firstLine="1134"/>
        <w:jc w:val="both"/>
        <w:rPr>
          <w:rFonts w:asciiTheme="minorHAnsi" w:hAnsiTheme="minorHAnsi" w:cstheme="minorHAnsi"/>
          <w:color w:val="auto"/>
          <w:sz w:val="22"/>
          <w:szCs w:val="22"/>
        </w:rPr>
      </w:pPr>
      <w:r w:rsidRPr="008723A8">
        <w:rPr>
          <w:rFonts w:asciiTheme="minorHAnsi" w:hAnsiTheme="minorHAnsi" w:cstheme="minorHAnsi"/>
          <w:color w:val="auto"/>
          <w:sz w:val="22"/>
          <w:szCs w:val="22"/>
        </w:rPr>
        <w:t>III – resíduo de poda de árvores: resíduo proveniente do corte ou da queda parcial ou total de árvores e vegetações de grande porte no geral</w:t>
      </w:r>
      <w:r>
        <w:rPr>
          <w:rFonts w:asciiTheme="minorHAnsi" w:hAnsiTheme="minorHAnsi" w:cstheme="minorHAnsi"/>
          <w:color w:val="auto"/>
          <w:sz w:val="22"/>
          <w:szCs w:val="22"/>
        </w:rPr>
        <w:t>”.</w:t>
      </w:r>
    </w:p>
    <w:p w14:paraId="3630C538" w14:textId="1BA2C5C3" w:rsidR="00FE37F9" w:rsidRPr="002D0EA3" w:rsidRDefault="00FE37F9" w:rsidP="00E03F6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 </w:t>
      </w:r>
    </w:p>
    <w:p w14:paraId="0389FBDC" w14:textId="294A3772" w:rsidR="00F35AE2" w:rsidRDefault="00FE37F9" w:rsidP="00CB0E8A">
      <w:pPr>
        <w:pStyle w:val="Default"/>
        <w:spacing w:line="276" w:lineRule="auto"/>
        <w:ind w:firstLine="1134"/>
        <w:jc w:val="both"/>
        <w:rPr>
          <w:rFonts w:asciiTheme="minorHAnsi" w:hAnsiTheme="minorHAnsi" w:cstheme="minorHAnsi"/>
          <w:color w:val="auto"/>
          <w:sz w:val="22"/>
          <w:szCs w:val="22"/>
        </w:rPr>
      </w:pPr>
      <w:r w:rsidRPr="00CB0E8A">
        <w:rPr>
          <w:rFonts w:asciiTheme="minorHAnsi" w:hAnsiTheme="minorHAnsi" w:cstheme="minorHAnsi"/>
          <w:color w:val="auto"/>
          <w:sz w:val="22"/>
          <w:szCs w:val="22"/>
        </w:rPr>
        <w:t xml:space="preserve">Sobre o </w:t>
      </w:r>
      <w:r w:rsidR="005B685F" w:rsidRPr="00CB0E8A">
        <w:rPr>
          <w:rFonts w:asciiTheme="minorHAnsi" w:hAnsiTheme="minorHAnsi" w:cstheme="minorHAnsi"/>
          <w:color w:val="auto"/>
          <w:sz w:val="22"/>
          <w:szCs w:val="22"/>
        </w:rPr>
        <w:t xml:space="preserve">tema, </w:t>
      </w:r>
      <w:r w:rsidRPr="00CB0E8A">
        <w:rPr>
          <w:rFonts w:asciiTheme="minorHAnsi" w:hAnsiTheme="minorHAnsi" w:cstheme="minorHAnsi"/>
          <w:color w:val="auto"/>
          <w:sz w:val="22"/>
          <w:szCs w:val="22"/>
        </w:rPr>
        <w:t>a Constituição</w:t>
      </w:r>
      <w:r w:rsidR="00654CBC" w:rsidRPr="00CB0E8A">
        <w:rPr>
          <w:rFonts w:asciiTheme="minorHAnsi" w:hAnsiTheme="minorHAnsi" w:cstheme="minorHAnsi"/>
          <w:color w:val="auto"/>
          <w:sz w:val="22"/>
          <w:szCs w:val="22"/>
        </w:rPr>
        <w:t xml:space="preserve"> </w:t>
      </w:r>
      <w:r w:rsidRPr="00CB0E8A">
        <w:rPr>
          <w:rFonts w:asciiTheme="minorHAnsi" w:hAnsiTheme="minorHAnsi" w:cstheme="minorHAnsi"/>
          <w:color w:val="auto"/>
          <w:sz w:val="22"/>
          <w:szCs w:val="22"/>
        </w:rPr>
        <w:t>traz</w:t>
      </w:r>
      <w:r w:rsidR="00F5659E" w:rsidRPr="00CB0E8A">
        <w:rPr>
          <w:rFonts w:asciiTheme="minorHAnsi" w:hAnsiTheme="minorHAnsi" w:cstheme="minorHAnsi"/>
          <w:color w:val="auto"/>
          <w:sz w:val="22"/>
          <w:szCs w:val="22"/>
        </w:rPr>
        <w:t xml:space="preserve"> </w:t>
      </w:r>
      <w:r w:rsidR="008723A8" w:rsidRPr="00CB0E8A">
        <w:rPr>
          <w:rFonts w:asciiTheme="minorHAnsi" w:hAnsiTheme="minorHAnsi" w:cstheme="minorHAnsi"/>
          <w:color w:val="auto"/>
          <w:sz w:val="22"/>
          <w:szCs w:val="22"/>
        </w:rPr>
        <w:t>o meio ambiente ecologicamente equilibrado como direito de todos, sendo dever do Poder Público e da coletividade defende-lo e preservá-lo (art. 225)</w:t>
      </w:r>
      <w:r w:rsidR="00F5659E" w:rsidRPr="00CB0E8A">
        <w:rPr>
          <w:rFonts w:asciiTheme="minorHAnsi" w:hAnsiTheme="minorHAnsi" w:cstheme="minorHAnsi"/>
          <w:color w:val="auto"/>
          <w:sz w:val="22"/>
          <w:szCs w:val="22"/>
        </w:rPr>
        <w:t xml:space="preserve">. </w:t>
      </w:r>
      <w:r w:rsidR="008723A8" w:rsidRPr="00CB0E8A">
        <w:rPr>
          <w:rFonts w:asciiTheme="minorHAnsi" w:hAnsiTheme="minorHAnsi" w:cstheme="minorHAnsi"/>
          <w:color w:val="auto"/>
          <w:sz w:val="22"/>
          <w:szCs w:val="22"/>
        </w:rPr>
        <w:t>Assim, v</w:t>
      </w:r>
      <w:r w:rsidR="00F5659E" w:rsidRPr="00CB0E8A">
        <w:rPr>
          <w:rFonts w:asciiTheme="minorHAnsi" w:hAnsiTheme="minorHAnsi" w:cstheme="minorHAnsi"/>
          <w:color w:val="auto"/>
          <w:sz w:val="22"/>
          <w:szCs w:val="22"/>
        </w:rPr>
        <w:t>erifica-se que o projeto analisado está em consonância com tais previsões</w:t>
      </w:r>
      <w:r w:rsidR="005B685F" w:rsidRPr="00CB0E8A">
        <w:rPr>
          <w:rFonts w:asciiTheme="minorHAnsi" w:hAnsiTheme="minorHAnsi" w:cstheme="minorHAnsi"/>
          <w:color w:val="auto"/>
          <w:sz w:val="22"/>
          <w:szCs w:val="22"/>
        </w:rPr>
        <w:t>:</w:t>
      </w:r>
      <w:r w:rsidR="005B685F" w:rsidRPr="002D0EA3">
        <w:rPr>
          <w:rFonts w:asciiTheme="minorHAnsi" w:hAnsiTheme="minorHAnsi" w:cstheme="minorHAnsi"/>
          <w:color w:val="auto"/>
          <w:sz w:val="22"/>
          <w:szCs w:val="22"/>
        </w:rPr>
        <w:t xml:space="preserve"> </w:t>
      </w:r>
    </w:p>
    <w:p w14:paraId="21D85940" w14:textId="471A9D39" w:rsidR="00CB0E8A" w:rsidRDefault="00CB0E8A" w:rsidP="00CB0E8A">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t>Ademais, dispõe no art. 30, I, ser competência municipal legislar sobre assuntos de interesse local, entre os quais se insere a gestão de resíduos sólidos e a limpeza urbana.</w:t>
      </w:r>
    </w:p>
    <w:p w14:paraId="3D117413" w14:textId="77777777" w:rsidR="00CB0E8A" w:rsidRPr="008723A8" w:rsidRDefault="00CB0E8A" w:rsidP="00CB0E8A">
      <w:pPr>
        <w:pStyle w:val="Default"/>
        <w:spacing w:line="276" w:lineRule="auto"/>
        <w:ind w:firstLine="1134"/>
        <w:jc w:val="both"/>
        <w:rPr>
          <w:rFonts w:asciiTheme="minorHAnsi" w:hAnsiTheme="minorHAnsi" w:cstheme="minorHAnsi"/>
          <w:color w:val="auto"/>
          <w:sz w:val="22"/>
          <w:szCs w:val="22"/>
        </w:rPr>
      </w:pPr>
    </w:p>
    <w:p w14:paraId="2B98CE2E" w14:textId="0D4613DF" w:rsidR="00A40871" w:rsidRDefault="00F5659E" w:rsidP="008723A8">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Por sua vez, a Constituição Estadual é mais específica, ao dispor expressamente ser objetivo prioritário do Município “</w:t>
      </w:r>
      <w:r w:rsidR="008723A8" w:rsidRPr="008723A8">
        <w:rPr>
          <w:rFonts w:asciiTheme="minorHAnsi" w:hAnsiTheme="minorHAnsi" w:cstheme="minorHAnsi"/>
          <w:sz w:val="22"/>
          <w:szCs w:val="22"/>
        </w:rPr>
        <w:t xml:space="preserve">gerir interesses locais, como fator essencial de </w:t>
      </w:r>
      <w:r w:rsidR="008723A8" w:rsidRPr="008723A8">
        <w:rPr>
          <w:rFonts w:asciiTheme="minorHAnsi" w:hAnsiTheme="minorHAnsi" w:cstheme="minorHAnsi"/>
          <w:sz w:val="22"/>
          <w:szCs w:val="22"/>
        </w:rPr>
        <w:lastRenderedPageBreak/>
        <w:t>desenvolvimento</w:t>
      </w:r>
      <w:r w:rsidR="008723A8">
        <w:rPr>
          <w:rFonts w:asciiTheme="minorHAnsi" w:hAnsiTheme="minorHAnsi" w:cstheme="minorHAnsi"/>
          <w:sz w:val="22"/>
          <w:szCs w:val="22"/>
        </w:rPr>
        <w:t xml:space="preserve"> </w:t>
      </w:r>
      <w:r w:rsidR="008723A8" w:rsidRPr="008723A8">
        <w:rPr>
          <w:rFonts w:asciiTheme="minorHAnsi" w:hAnsiTheme="minorHAnsi" w:cstheme="minorHAnsi"/>
          <w:sz w:val="22"/>
          <w:szCs w:val="22"/>
        </w:rPr>
        <w:t>da comunidade</w:t>
      </w:r>
      <w:r w:rsidR="008723A8">
        <w:rPr>
          <w:rFonts w:asciiTheme="minorHAnsi" w:hAnsiTheme="minorHAnsi" w:cstheme="minorHAnsi"/>
          <w:sz w:val="22"/>
          <w:szCs w:val="22"/>
        </w:rPr>
        <w:t>” e “</w:t>
      </w:r>
      <w:r w:rsidR="008723A8" w:rsidRPr="008723A8">
        <w:rPr>
          <w:rFonts w:asciiTheme="minorHAnsi" w:hAnsiTheme="minorHAnsi" w:cstheme="minorHAnsi"/>
          <w:sz w:val="22"/>
          <w:szCs w:val="22"/>
        </w:rPr>
        <w:t xml:space="preserve">proteger </w:t>
      </w:r>
      <w:r w:rsidR="003D7C40">
        <w:rPr>
          <w:rFonts w:asciiTheme="minorHAnsi" w:hAnsiTheme="minorHAnsi" w:cstheme="minorHAnsi"/>
          <w:sz w:val="22"/>
          <w:szCs w:val="22"/>
        </w:rPr>
        <w:t>(...)</w:t>
      </w:r>
      <w:r w:rsidR="008723A8" w:rsidRPr="008723A8">
        <w:rPr>
          <w:rFonts w:asciiTheme="minorHAnsi" w:hAnsiTheme="minorHAnsi" w:cstheme="minorHAnsi"/>
          <w:sz w:val="22"/>
          <w:szCs w:val="22"/>
        </w:rPr>
        <w:t xml:space="preserve"> o meio ambiente e combater a poluição</w:t>
      </w:r>
      <w:r w:rsidRPr="002D0EA3">
        <w:rPr>
          <w:rFonts w:asciiTheme="minorHAnsi" w:hAnsiTheme="minorHAnsi" w:cstheme="minorHAnsi"/>
          <w:sz w:val="22"/>
          <w:szCs w:val="22"/>
        </w:rPr>
        <w:t>” (art. 166, I</w:t>
      </w:r>
      <w:r w:rsidR="003D7C40">
        <w:rPr>
          <w:rFonts w:asciiTheme="minorHAnsi" w:hAnsiTheme="minorHAnsi" w:cstheme="minorHAnsi"/>
          <w:sz w:val="22"/>
          <w:szCs w:val="22"/>
        </w:rPr>
        <w:t xml:space="preserve"> e V</w:t>
      </w:r>
      <w:r w:rsidRPr="002D0EA3">
        <w:rPr>
          <w:rFonts w:asciiTheme="minorHAnsi" w:hAnsiTheme="minorHAnsi" w:cstheme="minorHAnsi"/>
          <w:sz w:val="22"/>
          <w:szCs w:val="22"/>
        </w:rPr>
        <w:t>).</w:t>
      </w:r>
    </w:p>
    <w:p w14:paraId="22AD0AB6" w14:textId="77777777" w:rsidR="00CB0E8A" w:rsidRDefault="00CB0E8A" w:rsidP="008723A8">
      <w:pPr>
        <w:pStyle w:val="Default"/>
        <w:spacing w:line="276" w:lineRule="auto"/>
        <w:ind w:firstLine="1134"/>
        <w:jc w:val="both"/>
        <w:rPr>
          <w:rFonts w:asciiTheme="minorHAnsi" w:hAnsiTheme="minorHAnsi" w:cstheme="minorHAnsi"/>
          <w:sz w:val="22"/>
          <w:szCs w:val="22"/>
        </w:rPr>
      </w:pPr>
    </w:p>
    <w:p w14:paraId="593F77FB" w14:textId="60F1A871" w:rsidR="00CB0E8A" w:rsidRDefault="00CB0E8A" w:rsidP="008723A8">
      <w:pPr>
        <w:pStyle w:val="Default"/>
        <w:spacing w:line="276" w:lineRule="auto"/>
        <w:ind w:firstLine="1134"/>
        <w:jc w:val="both"/>
        <w:rPr>
          <w:rFonts w:asciiTheme="minorHAnsi" w:hAnsiTheme="minorHAnsi" w:cstheme="minorHAnsi"/>
          <w:sz w:val="22"/>
          <w:szCs w:val="22"/>
        </w:rPr>
      </w:pPr>
      <w:r>
        <w:rPr>
          <w:rFonts w:asciiTheme="minorHAnsi" w:hAnsiTheme="minorHAnsi" w:cstheme="minorHAnsi"/>
          <w:sz w:val="22"/>
          <w:szCs w:val="22"/>
        </w:rPr>
        <w:t xml:space="preserve">Ressalte-se, ainda, que existe ampla legislação nacional fundamentando o tema tratado no projeto, como a Lei Federal nº </w:t>
      </w:r>
      <w:r w:rsidRPr="00CB0E8A">
        <w:rPr>
          <w:rFonts w:asciiTheme="minorHAnsi" w:hAnsiTheme="minorHAnsi" w:cstheme="minorHAnsi"/>
          <w:sz w:val="22"/>
          <w:szCs w:val="22"/>
        </w:rPr>
        <w:t>12.305/2010</w:t>
      </w:r>
      <w:r>
        <w:rPr>
          <w:rFonts w:asciiTheme="minorHAnsi" w:hAnsiTheme="minorHAnsi" w:cstheme="minorHAnsi"/>
          <w:sz w:val="22"/>
          <w:szCs w:val="22"/>
        </w:rPr>
        <w:t xml:space="preserve">, Política Nacional de Resíduos Sólidos, que traz diversos princípios, especialmente </w:t>
      </w:r>
      <w:r w:rsidRPr="00CB0E8A">
        <w:rPr>
          <w:rFonts w:asciiTheme="minorHAnsi" w:hAnsiTheme="minorHAnsi" w:cstheme="minorHAnsi"/>
          <w:sz w:val="22"/>
          <w:szCs w:val="22"/>
        </w:rPr>
        <w:t>no que tange à responsabilidade compartilhada pelo ciclo de vida dos produtos e à destinação ambientalmente adequada dos resíduos.</w:t>
      </w:r>
    </w:p>
    <w:p w14:paraId="43ED9907" w14:textId="77777777" w:rsidR="00CB0E8A" w:rsidRDefault="00CB0E8A" w:rsidP="008723A8">
      <w:pPr>
        <w:pStyle w:val="Default"/>
        <w:spacing w:line="276" w:lineRule="auto"/>
        <w:ind w:firstLine="1134"/>
        <w:jc w:val="both"/>
        <w:rPr>
          <w:rFonts w:asciiTheme="minorHAnsi" w:hAnsiTheme="minorHAnsi" w:cstheme="minorHAnsi"/>
          <w:sz w:val="22"/>
          <w:szCs w:val="22"/>
        </w:rPr>
      </w:pPr>
    </w:p>
    <w:p w14:paraId="672720C1" w14:textId="29CEB027" w:rsidR="00CB0E8A" w:rsidRDefault="00CB0E8A" w:rsidP="008723A8">
      <w:pPr>
        <w:pStyle w:val="Default"/>
        <w:spacing w:line="276" w:lineRule="auto"/>
        <w:ind w:firstLine="1134"/>
        <w:jc w:val="both"/>
        <w:rPr>
          <w:rFonts w:asciiTheme="minorHAnsi" w:hAnsiTheme="minorHAnsi" w:cstheme="minorHAnsi"/>
          <w:sz w:val="22"/>
          <w:szCs w:val="22"/>
        </w:rPr>
      </w:pPr>
      <w:r>
        <w:rPr>
          <w:rFonts w:asciiTheme="minorHAnsi" w:hAnsiTheme="minorHAnsi" w:cstheme="minorHAnsi"/>
          <w:sz w:val="22"/>
          <w:szCs w:val="22"/>
        </w:rPr>
        <w:t>A seguir, traça-se uma análise mais detalhada sobre pontos relevantes do projeto:</w:t>
      </w:r>
    </w:p>
    <w:p w14:paraId="70683052" w14:textId="77777777" w:rsidR="00CB0E8A" w:rsidRDefault="00CB0E8A" w:rsidP="008723A8">
      <w:pPr>
        <w:pStyle w:val="Default"/>
        <w:spacing w:line="276" w:lineRule="auto"/>
        <w:ind w:firstLine="1134"/>
        <w:jc w:val="both"/>
        <w:rPr>
          <w:rFonts w:asciiTheme="minorHAnsi" w:hAnsiTheme="minorHAnsi" w:cstheme="minorHAnsi"/>
          <w:sz w:val="22"/>
          <w:szCs w:val="22"/>
        </w:rPr>
      </w:pPr>
    </w:p>
    <w:p w14:paraId="4ED4CB5F" w14:textId="77777777" w:rsidR="00CB0E8A" w:rsidRPr="00CB0E8A"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 xml:space="preserve">Clareza nas Definições: </w:t>
      </w:r>
      <w:r w:rsidRPr="00CB0E8A">
        <w:rPr>
          <w:rFonts w:asciiTheme="minorHAnsi" w:hAnsiTheme="minorHAnsi" w:cstheme="minorHAnsi"/>
          <w:sz w:val="22"/>
          <w:szCs w:val="22"/>
        </w:rPr>
        <w:t>As definições apresentadas no Art. 1º estão claras e abrangem os principais tipos de resíduos e agentes envolvidos.</w:t>
      </w:r>
    </w:p>
    <w:p w14:paraId="708EA82E" w14:textId="77777777" w:rsidR="00CB0E8A" w:rsidRPr="00CB0E8A"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Responsabilidade do Gerador:</w:t>
      </w:r>
      <w:r w:rsidRPr="00CB0E8A">
        <w:rPr>
          <w:rFonts w:asciiTheme="minorHAnsi" w:hAnsiTheme="minorHAnsi" w:cstheme="minorHAnsi"/>
          <w:sz w:val="22"/>
          <w:szCs w:val="22"/>
        </w:rPr>
        <w:t xml:space="preserve"> O projeto atribui corretamente ao gerador a responsabilidade pela destinação adequada dos resíduos, em consonância com a Política Nacional de Resíduos Sólidos.</w:t>
      </w:r>
    </w:p>
    <w:p w14:paraId="2BD6D769" w14:textId="77777777" w:rsidR="00CB0E8A" w:rsidRPr="00CB0E8A"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Empresas Especializadas:</w:t>
      </w:r>
      <w:r w:rsidRPr="00CB0E8A">
        <w:rPr>
          <w:rFonts w:asciiTheme="minorHAnsi" w:hAnsiTheme="minorHAnsi" w:cstheme="minorHAnsi"/>
          <w:sz w:val="22"/>
          <w:szCs w:val="22"/>
        </w:rPr>
        <w:t xml:space="preserve"> A exigência de contratação de empresas cadastradas e autorizadas pelo Município para a coleta de entulho é pertinente e promove a formalização do setor.</w:t>
      </w:r>
    </w:p>
    <w:p w14:paraId="22229BFB" w14:textId="77777777" w:rsidR="00CB0E8A" w:rsidRPr="00CB0E8A"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 xml:space="preserve">Graduação de Penalidades: </w:t>
      </w:r>
      <w:r w:rsidRPr="00CB0E8A">
        <w:rPr>
          <w:rFonts w:asciiTheme="minorHAnsi" w:hAnsiTheme="minorHAnsi" w:cstheme="minorHAnsi"/>
          <w:sz w:val="22"/>
          <w:szCs w:val="22"/>
        </w:rPr>
        <w:t>A previsão de advertência seguida de multas progressivas em caso de reincidência está de acordo com os princípios da razoabilidade e proporcionalidade.</w:t>
      </w:r>
    </w:p>
    <w:p w14:paraId="24C6C221" w14:textId="4B1F35FC" w:rsidR="00CB0E8A"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Multa Baseada no Valor Venal:</w:t>
      </w:r>
      <w:r w:rsidRPr="00CB0E8A">
        <w:rPr>
          <w:rFonts w:asciiTheme="minorHAnsi" w:hAnsiTheme="minorHAnsi" w:cstheme="minorHAnsi"/>
          <w:sz w:val="22"/>
          <w:szCs w:val="22"/>
        </w:rPr>
        <w:t xml:space="preserve"> A utilização do valor venal do imóvel como base para cálculo da multa é uma prática comum, porém, sugere-se especificar o método de cálculo para evitar ambiguidades</w:t>
      </w:r>
      <w:r>
        <w:rPr>
          <w:rFonts w:asciiTheme="minorHAnsi" w:hAnsiTheme="minorHAnsi" w:cstheme="minorHAnsi"/>
          <w:sz w:val="22"/>
          <w:szCs w:val="22"/>
        </w:rPr>
        <w:t xml:space="preserve"> ou até mesmo alterar a multa para ser proporcional ao salário mínimo, caso os legisladores entendam mais pertinente, em consonância com a realidade do Município e eventual dificuldade sobre encontrar o real valor venal dos imóveis.</w:t>
      </w:r>
    </w:p>
    <w:p w14:paraId="6C44F345" w14:textId="77777777" w:rsidR="00CB0E8A" w:rsidRPr="00CB0E8A"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Referência a Normas Técnicas:</w:t>
      </w:r>
      <w:r w:rsidRPr="00CB0E8A">
        <w:rPr>
          <w:rFonts w:asciiTheme="minorHAnsi" w:hAnsiTheme="minorHAnsi" w:cstheme="minorHAnsi"/>
          <w:sz w:val="22"/>
          <w:szCs w:val="22"/>
        </w:rPr>
        <w:t xml:space="preserve"> A menção à NBR 14728 da Associação Brasileira de Normas Técnicas (ABNT) é adequada, garantindo que as caçambas atendam aos padrões de segurança e qualidade.</w:t>
      </w:r>
    </w:p>
    <w:p w14:paraId="2C357F40" w14:textId="77777777" w:rsidR="00CB0E8A" w:rsidRPr="00CB0E8A"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Legislação Municipal:</w:t>
      </w:r>
      <w:r w:rsidRPr="00CB0E8A">
        <w:rPr>
          <w:rFonts w:asciiTheme="minorHAnsi" w:hAnsiTheme="minorHAnsi" w:cstheme="minorHAnsi"/>
          <w:sz w:val="22"/>
          <w:szCs w:val="22"/>
        </w:rPr>
        <w:t xml:space="preserve"> A referência à Lei Municipal nº 1.551/2018 e ao Decreto Municipal nº 2.610/2020 demonstra integração com a legislação local vigente.</w:t>
      </w:r>
    </w:p>
    <w:p w14:paraId="5A6F2506" w14:textId="77777777" w:rsidR="00CB0E8A" w:rsidRDefault="00CB0E8A" w:rsidP="00CB0E8A">
      <w:pPr>
        <w:pStyle w:val="Default"/>
        <w:spacing w:line="276" w:lineRule="auto"/>
        <w:ind w:firstLine="1134"/>
        <w:jc w:val="both"/>
        <w:rPr>
          <w:rFonts w:asciiTheme="minorHAnsi" w:hAnsiTheme="minorHAnsi" w:cstheme="minorHAnsi"/>
          <w:sz w:val="22"/>
          <w:szCs w:val="22"/>
        </w:rPr>
      </w:pPr>
    </w:p>
    <w:p w14:paraId="30ACE013" w14:textId="6211BA21" w:rsidR="00CB0E8A" w:rsidRPr="002D0EA3" w:rsidRDefault="00CB0E8A" w:rsidP="00CB0E8A">
      <w:pPr>
        <w:pStyle w:val="Default"/>
        <w:spacing w:line="276" w:lineRule="auto"/>
        <w:ind w:firstLine="1134"/>
        <w:jc w:val="both"/>
        <w:rPr>
          <w:rFonts w:asciiTheme="minorHAnsi" w:hAnsiTheme="minorHAnsi" w:cstheme="minorHAnsi"/>
          <w:sz w:val="22"/>
          <w:szCs w:val="22"/>
        </w:rPr>
      </w:pPr>
      <w:r w:rsidRPr="00CB0E8A">
        <w:rPr>
          <w:rFonts w:asciiTheme="minorHAnsi" w:hAnsiTheme="minorHAnsi" w:cstheme="minorHAnsi"/>
          <w:sz w:val="22"/>
          <w:szCs w:val="22"/>
        </w:rPr>
        <w:t>•</w:t>
      </w:r>
      <w:r w:rsidRPr="00CB0E8A">
        <w:rPr>
          <w:rFonts w:asciiTheme="minorHAnsi" w:hAnsiTheme="minorHAnsi" w:cstheme="minorHAnsi"/>
          <w:sz w:val="22"/>
          <w:szCs w:val="22"/>
        </w:rPr>
        <w:tab/>
      </w:r>
      <w:r w:rsidRPr="00CB0E8A">
        <w:rPr>
          <w:rFonts w:asciiTheme="minorHAnsi" w:hAnsiTheme="minorHAnsi" w:cstheme="minorHAnsi"/>
          <w:b/>
          <w:bCs/>
          <w:sz w:val="22"/>
          <w:szCs w:val="22"/>
        </w:rPr>
        <w:t>Participação Social:</w:t>
      </w:r>
      <w:r w:rsidRPr="00CB0E8A">
        <w:rPr>
          <w:rFonts w:asciiTheme="minorHAnsi" w:hAnsiTheme="minorHAnsi" w:cstheme="minorHAnsi"/>
          <w:sz w:val="22"/>
          <w:szCs w:val="22"/>
        </w:rPr>
        <w:t xml:space="preserve"> </w:t>
      </w:r>
      <w:r>
        <w:rPr>
          <w:rFonts w:asciiTheme="minorHAnsi" w:hAnsiTheme="minorHAnsi" w:cstheme="minorHAnsi"/>
          <w:sz w:val="22"/>
          <w:szCs w:val="22"/>
        </w:rPr>
        <w:t>A</w:t>
      </w:r>
      <w:r w:rsidRPr="00CB0E8A">
        <w:rPr>
          <w:rFonts w:asciiTheme="minorHAnsi" w:hAnsiTheme="minorHAnsi" w:cstheme="minorHAnsi"/>
          <w:sz w:val="22"/>
          <w:szCs w:val="22"/>
        </w:rPr>
        <w:t xml:space="preserve"> inclusão de mecanismos de participação da comunidade na fiscalização e denúncia de descartes irregulares promove maior engajamento social.</w:t>
      </w:r>
    </w:p>
    <w:p w14:paraId="71F4FAB2" w14:textId="77777777" w:rsidR="00654CBC" w:rsidRPr="002D0EA3" w:rsidRDefault="00654CBC" w:rsidP="00D93250">
      <w:pPr>
        <w:pStyle w:val="Default"/>
        <w:spacing w:line="276" w:lineRule="auto"/>
        <w:ind w:firstLine="1134"/>
        <w:jc w:val="both"/>
        <w:rPr>
          <w:rFonts w:asciiTheme="minorHAnsi" w:hAnsiTheme="minorHAnsi" w:cstheme="minorHAnsi"/>
          <w:sz w:val="22"/>
          <w:szCs w:val="22"/>
        </w:rPr>
      </w:pPr>
    </w:p>
    <w:p w14:paraId="3754C478" w14:textId="0BA131C0" w:rsidR="00654CBC" w:rsidRPr="002D0EA3" w:rsidRDefault="00654CBC" w:rsidP="00D93250">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Por fim, anote-se não terem sido verificadas controvérsias jurisprudenciais ou doutrinárias sobre o tema.</w:t>
      </w:r>
    </w:p>
    <w:p w14:paraId="6D7619F2" w14:textId="796D4E62" w:rsidR="00FE37F9" w:rsidRPr="002D0EA3" w:rsidRDefault="00FE37F9" w:rsidP="00D93250">
      <w:pPr>
        <w:pStyle w:val="Default"/>
        <w:spacing w:line="276" w:lineRule="auto"/>
        <w:ind w:firstLine="1134"/>
        <w:jc w:val="both"/>
        <w:rPr>
          <w:rFonts w:asciiTheme="minorHAnsi" w:hAnsiTheme="minorHAnsi" w:cstheme="minorHAnsi"/>
          <w:color w:val="FF0000"/>
          <w:sz w:val="22"/>
          <w:szCs w:val="22"/>
          <w:highlight w:val="lightGray"/>
        </w:rPr>
      </w:pPr>
    </w:p>
    <w:p w14:paraId="37E16EF2" w14:textId="7ADFEA66" w:rsidR="00943496" w:rsidRPr="002D0EA3" w:rsidRDefault="00943496" w:rsidP="00D93250">
      <w:pPr>
        <w:pStyle w:val="Default"/>
        <w:spacing w:line="276" w:lineRule="auto"/>
        <w:jc w:val="both"/>
        <w:rPr>
          <w:rFonts w:asciiTheme="minorHAnsi" w:hAnsiTheme="minorHAnsi" w:cstheme="minorHAnsi"/>
          <w:b/>
          <w:color w:val="auto"/>
          <w:sz w:val="22"/>
          <w:szCs w:val="22"/>
        </w:rPr>
      </w:pPr>
      <w:r w:rsidRPr="002D0EA3">
        <w:rPr>
          <w:rFonts w:asciiTheme="minorHAnsi" w:hAnsiTheme="minorHAnsi" w:cstheme="minorHAnsi"/>
          <w:b/>
          <w:color w:val="auto"/>
          <w:sz w:val="22"/>
          <w:szCs w:val="22"/>
        </w:rPr>
        <w:t>II</w:t>
      </w:r>
      <w:r w:rsidR="00103581" w:rsidRPr="002D0EA3">
        <w:rPr>
          <w:rFonts w:asciiTheme="minorHAnsi" w:hAnsiTheme="minorHAnsi" w:cstheme="minorHAnsi"/>
          <w:b/>
          <w:color w:val="auto"/>
          <w:sz w:val="22"/>
          <w:szCs w:val="22"/>
        </w:rPr>
        <w:t xml:space="preserve"> –</w:t>
      </w:r>
      <w:r w:rsidRPr="002D0EA3">
        <w:rPr>
          <w:rFonts w:asciiTheme="minorHAnsi" w:hAnsiTheme="minorHAnsi" w:cstheme="minorHAnsi"/>
          <w:b/>
          <w:color w:val="auto"/>
          <w:sz w:val="22"/>
          <w:szCs w:val="22"/>
        </w:rPr>
        <w:t xml:space="preserve"> DA RESPONSABILIDADE COM A DESPESA PÚBLICA</w:t>
      </w:r>
    </w:p>
    <w:p w14:paraId="19E6BF1F" w14:textId="26E5E0D6" w:rsidR="00CB0E8A" w:rsidRDefault="003577C6" w:rsidP="003577C6">
      <w:pPr>
        <w:pStyle w:val="Default"/>
        <w:spacing w:line="276" w:lineRule="auto"/>
        <w:ind w:firstLine="1134"/>
        <w:jc w:val="both"/>
        <w:rPr>
          <w:rFonts w:asciiTheme="minorHAnsi" w:hAnsiTheme="minorHAnsi" w:cstheme="minorHAnsi"/>
          <w:bCs/>
          <w:color w:val="auto"/>
          <w:sz w:val="22"/>
          <w:szCs w:val="22"/>
        </w:rPr>
      </w:pPr>
      <w:r w:rsidRPr="002D0EA3">
        <w:rPr>
          <w:rFonts w:asciiTheme="minorHAnsi" w:hAnsiTheme="minorHAnsi" w:cstheme="minorHAnsi"/>
          <w:bCs/>
          <w:color w:val="auto"/>
          <w:sz w:val="22"/>
          <w:szCs w:val="22"/>
        </w:rPr>
        <w:t>O projeto de lei ora analisado não tem o condão de gerar despesas significativas ao Poder Público Municipal</w:t>
      </w:r>
      <w:r w:rsidR="00CB0E8A">
        <w:rPr>
          <w:rFonts w:asciiTheme="minorHAnsi" w:hAnsiTheme="minorHAnsi" w:cstheme="minorHAnsi"/>
          <w:bCs/>
          <w:color w:val="auto"/>
          <w:sz w:val="22"/>
          <w:szCs w:val="22"/>
        </w:rPr>
        <w:t xml:space="preserve">, a despeito da previsão de que a coleta e remoção do resíduo poderá ser feita pela Prefeitura Municipal, no caso de o particular não atender a advertência. Contudo, </w:t>
      </w:r>
      <w:r w:rsidR="00CB0E8A">
        <w:rPr>
          <w:rFonts w:asciiTheme="minorHAnsi" w:hAnsiTheme="minorHAnsi" w:cstheme="minorHAnsi"/>
          <w:bCs/>
          <w:color w:val="auto"/>
          <w:sz w:val="22"/>
          <w:szCs w:val="22"/>
        </w:rPr>
        <w:lastRenderedPageBreak/>
        <w:t>a redação prevê a cobrança dos valores despendidos em dobro do particular faltante (art.</w:t>
      </w:r>
      <w:r w:rsidR="000420F7">
        <w:rPr>
          <w:rFonts w:asciiTheme="minorHAnsi" w:hAnsiTheme="minorHAnsi" w:cstheme="minorHAnsi"/>
          <w:bCs/>
          <w:color w:val="auto"/>
          <w:sz w:val="22"/>
          <w:szCs w:val="22"/>
        </w:rPr>
        <w:t xml:space="preserve"> 3º, §2º)</w:t>
      </w:r>
      <w:r w:rsidR="00CB0E8A">
        <w:rPr>
          <w:rFonts w:asciiTheme="minorHAnsi" w:hAnsiTheme="minorHAnsi" w:cstheme="minorHAnsi"/>
          <w:bCs/>
          <w:color w:val="auto"/>
          <w:sz w:val="22"/>
          <w:szCs w:val="22"/>
        </w:rPr>
        <w:t xml:space="preserve"> , o que sana a questão, aparentemente.</w:t>
      </w:r>
    </w:p>
    <w:p w14:paraId="53BA700F" w14:textId="5B9A5622" w:rsidR="003577C6" w:rsidRPr="002D0EA3" w:rsidRDefault="00654CBC" w:rsidP="003577C6">
      <w:pPr>
        <w:pStyle w:val="Default"/>
        <w:spacing w:line="276" w:lineRule="auto"/>
        <w:ind w:firstLine="1134"/>
        <w:jc w:val="both"/>
        <w:rPr>
          <w:rFonts w:asciiTheme="minorHAnsi" w:hAnsiTheme="minorHAnsi" w:cstheme="minorHAnsi"/>
          <w:bCs/>
          <w:color w:val="auto"/>
          <w:sz w:val="22"/>
          <w:szCs w:val="22"/>
        </w:rPr>
      </w:pPr>
      <w:r w:rsidRPr="002D0EA3">
        <w:rPr>
          <w:rFonts w:asciiTheme="minorHAnsi" w:hAnsiTheme="minorHAnsi" w:cstheme="minorHAnsi"/>
          <w:bCs/>
          <w:color w:val="auto"/>
          <w:sz w:val="22"/>
          <w:szCs w:val="22"/>
        </w:rPr>
        <w:t xml:space="preserve">Desse modo, </w:t>
      </w:r>
      <w:r w:rsidR="003577C6" w:rsidRPr="002D0EA3">
        <w:rPr>
          <w:rFonts w:asciiTheme="minorHAnsi" w:hAnsiTheme="minorHAnsi" w:cstheme="minorHAnsi"/>
          <w:bCs/>
          <w:color w:val="auto"/>
          <w:sz w:val="22"/>
          <w:szCs w:val="22"/>
        </w:rPr>
        <w:t xml:space="preserve">a análise do tópico sobre a responsabilidade com a despesa pública se torna desnecessária neste momento. </w:t>
      </w:r>
    </w:p>
    <w:p w14:paraId="274D18BA" w14:textId="77777777" w:rsidR="003577C6" w:rsidRPr="002D0EA3" w:rsidRDefault="003577C6" w:rsidP="00D93250">
      <w:pPr>
        <w:pStyle w:val="Default"/>
        <w:spacing w:line="276" w:lineRule="auto"/>
        <w:ind w:firstLine="708"/>
        <w:jc w:val="both"/>
        <w:rPr>
          <w:rFonts w:asciiTheme="minorHAnsi" w:hAnsiTheme="minorHAnsi" w:cstheme="minorHAnsi"/>
          <w:b/>
          <w:color w:val="auto"/>
          <w:sz w:val="22"/>
          <w:szCs w:val="22"/>
        </w:rPr>
      </w:pPr>
    </w:p>
    <w:p w14:paraId="401FC375" w14:textId="602C3CC1" w:rsidR="00636B63" w:rsidRPr="002D0EA3" w:rsidRDefault="005E2AC2" w:rsidP="00D93250">
      <w:pPr>
        <w:pStyle w:val="Default"/>
        <w:spacing w:line="276" w:lineRule="auto"/>
        <w:jc w:val="both"/>
        <w:rPr>
          <w:rFonts w:asciiTheme="minorHAnsi" w:hAnsiTheme="minorHAnsi" w:cstheme="minorHAnsi"/>
          <w:b/>
          <w:color w:val="auto"/>
          <w:sz w:val="22"/>
          <w:szCs w:val="22"/>
        </w:rPr>
      </w:pPr>
      <w:r w:rsidRPr="002D0EA3">
        <w:rPr>
          <w:rFonts w:asciiTheme="minorHAnsi" w:hAnsiTheme="minorHAnsi" w:cstheme="minorHAnsi"/>
          <w:b/>
          <w:color w:val="auto"/>
          <w:sz w:val="22"/>
          <w:szCs w:val="22"/>
        </w:rPr>
        <w:t>III</w:t>
      </w:r>
      <w:r w:rsidR="00103581" w:rsidRPr="002D0EA3">
        <w:rPr>
          <w:rFonts w:asciiTheme="minorHAnsi" w:hAnsiTheme="minorHAnsi" w:cstheme="minorHAnsi"/>
          <w:b/>
          <w:color w:val="auto"/>
          <w:sz w:val="22"/>
          <w:szCs w:val="22"/>
        </w:rPr>
        <w:t xml:space="preserve"> –</w:t>
      </w:r>
      <w:r w:rsidR="00636B63" w:rsidRPr="002D0EA3">
        <w:rPr>
          <w:rFonts w:asciiTheme="minorHAnsi" w:hAnsiTheme="minorHAnsi" w:cstheme="minorHAnsi"/>
          <w:b/>
          <w:color w:val="auto"/>
          <w:sz w:val="22"/>
          <w:szCs w:val="22"/>
        </w:rPr>
        <w:t xml:space="preserve"> CONCLUSÃO</w:t>
      </w:r>
    </w:p>
    <w:p w14:paraId="251190BD" w14:textId="77777777" w:rsidR="001E1583" w:rsidRPr="002D0EA3" w:rsidRDefault="001E1583" w:rsidP="001E1583">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Finalmente, salienta-se que a emissão de parecer por esta Advocacia Legislativa não substitui o parecer das Comissões desta Casa, porquanto estas são compostas pelos representantes eleitos e constituem-se em manifestação efetivamente legítima do Parlamento. </w:t>
      </w:r>
    </w:p>
    <w:p w14:paraId="2DEA6CB1" w14:textId="391A52FD" w:rsidR="001E1583" w:rsidRPr="002D0EA3" w:rsidRDefault="001E1583" w:rsidP="001E1583">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Dessa forma, a opinião jurídica exarada neste parecer não tem força vinculante, podendo seus fundamentos serem utilizados ou não pelos membros desta Casa, servindo apenas como norte para o voto dos Edis.</w:t>
      </w:r>
    </w:p>
    <w:p w14:paraId="6642A06E" w14:textId="77777777" w:rsidR="001E1583" w:rsidRPr="002D0EA3" w:rsidRDefault="00636B63"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b/>
      </w:r>
    </w:p>
    <w:p w14:paraId="1D9A275D" w14:textId="2B39DF92" w:rsidR="00636B63" w:rsidRPr="002D0EA3" w:rsidRDefault="00636B63"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Diante de todo o exposto, do ponto de vista de constitucionalidade, legalidade, juridicidade e boa técnica legislativa, a Procuradoria Legislativa OPINA, salvo melhor juízo, pela viabilidade técnica da referida proposição, devendo ser observados os demais aspectos procedimentais levantados.</w:t>
      </w:r>
    </w:p>
    <w:p w14:paraId="60BB9E49" w14:textId="77777777" w:rsidR="005E2AC2" w:rsidRPr="002D0EA3" w:rsidRDefault="005E2AC2" w:rsidP="00D93250">
      <w:pPr>
        <w:pStyle w:val="Default"/>
        <w:spacing w:line="276" w:lineRule="auto"/>
        <w:ind w:firstLine="1134"/>
        <w:jc w:val="right"/>
        <w:rPr>
          <w:rFonts w:asciiTheme="minorHAnsi" w:hAnsiTheme="minorHAnsi" w:cstheme="minorHAnsi"/>
          <w:color w:val="auto"/>
          <w:sz w:val="22"/>
          <w:szCs w:val="22"/>
        </w:rPr>
      </w:pPr>
    </w:p>
    <w:p w14:paraId="218DAC28" w14:textId="7F7284D4" w:rsidR="00C46DBF" w:rsidRPr="002D0EA3" w:rsidRDefault="001F316B" w:rsidP="00D93250">
      <w:pPr>
        <w:pStyle w:val="Default"/>
        <w:spacing w:line="276" w:lineRule="auto"/>
        <w:ind w:firstLine="1134"/>
        <w:jc w:val="right"/>
        <w:rPr>
          <w:rFonts w:asciiTheme="minorHAnsi" w:hAnsiTheme="minorHAnsi" w:cstheme="minorHAnsi"/>
          <w:sz w:val="22"/>
          <w:szCs w:val="22"/>
        </w:rPr>
      </w:pPr>
      <w:r w:rsidRPr="002D0EA3">
        <w:rPr>
          <w:rFonts w:asciiTheme="minorHAnsi" w:hAnsiTheme="minorHAnsi" w:cstheme="minorHAnsi"/>
          <w:color w:val="auto"/>
          <w:sz w:val="22"/>
          <w:szCs w:val="22"/>
        </w:rPr>
        <w:t xml:space="preserve"> </w:t>
      </w:r>
      <w:r w:rsidR="00C46DBF" w:rsidRPr="002D0EA3">
        <w:rPr>
          <w:rFonts w:asciiTheme="minorHAnsi" w:hAnsiTheme="minorHAnsi" w:cstheme="minorHAnsi"/>
          <w:sz w:val="22"/>
          <w:szCs w:val="22"/>
        </w:rPr>
        <w:t>Carmo da Mata/MG</w:t>
      </w:r>
      <w:r w:rsidR="002D0EA3">
        <w:rPr>
          <w:rFonts w:asciiTheme="minorHAnsi" w:hAnsiTheme="minorHAnsi" w:cstheme="minorHAnsi"/>
          <w:sz w:val="22"/>
          <w:szCs w:val="22"/>
        </w:rPr>
        <w:t>, 14 de fevereiro de 2025</w:t>
      </w:r>
      <w:r w:rsidR="00C46DBF" w:rsidRPr="002D0EA3">
        <w:rPr>
          <w:rFonts w:asciiTheme="minorHAnsi" w:hAnsiTheme="minorHAnsi" w:cstheme="minorHAnsi"/>
          <w:sz w:val="22"/>
          <w:szCs w:val="22"/>
        </w:rPr>
        <w:t>.</w:t>
      </w:r>
    </w:p>
    <w:p w14:paraId="53123F2A" w14:textId="77777777" w:rsidR="00C46DBF" w:rsidRPr="002D0EA3" w:rsidRDefault="00C46DBF" w:rsidP="00D93250">
      <w:pPr>
        <w:pStyle w:val="Default"/>
        <w:spacing w:line="276" w:lineRule="auto"/>
        <w:jc w:val="both"/>
        <w:rPr>
          <w:rFonts w:asciiTheme="minorHAnsi" w:hAnsiTheme="minorHAnsi" w:cstheme="minorHAnsi"/>
          <w:color w:val="auto"/>
          <w:sz w:val="22"/>
          <w:szCs w:val="22"/>
        </w:rPr>
      </w:pPr>
    </w:p>
    <w:p w14:paraId="7E0E16C8" w14:textId="77777777" w:rsidR="00C46DBF" w:rsidRPr="002D0EA3" w:rsidRDefault="00C46DBF" w:rsidP="00D93250">
      <w:pPr>
        <w:pStyle w:val="Default"/>
        <w:spacing w:line="276" w:lineRule="auto"/>
        <w:ind w:firstLine="1134"/>
        <w:jc w:val="both"/>
        <w:rPr>
          <w:rFonts w:asciiTheme="minorHAnsi" w:hAnsiTheme="minorHAnsi" w:cstheme="minorHAnsi"/>
          <w:color w:val="auto"/>
          <w:sz w:val="22"/>
          <w:szCs w:val="22"/>
        </w:rPr>
      </w:pPr>
    </w:p>
    <w:p w14:paraId="7D8CDF67"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u w:val="single"/>
        </w:rPr>
      </w:pPr>
      <w:r w:rsidRPr="002D0EA3">
        <w:rPr>
          <w:rFonts w:asciiTheme="minorHAnsi" w:hAnsiTheme="minorHAnsi" w:cstheme="minorHAnsi"/>
          <w:b/>
          <w:color w:val="000000"/>
          <w:sz w:val="22"/>
          <w:szCs w:val="22"/>
        </w:rPr>
        <w:t>_____________________________</w:t>
      </w:r>
    </w:p>
    <w:p w14:paraId="2063703A"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rPr>
      </w:pPr>
      <w:r w:rsidRPr="002D0EA3">
        <w:rPr>
          <w:rFonts w:asciiTheme="minorHAnsi" w:hAnsiTheme="minorHAnsi" w:cstheme="minorHAnsi"/>
          <w:b/>
          <w:color w:val="000000"/>
          <w:sz w:val="22"/>
          <w:szCs w:val="22"/>
        </w:rPr>
        <w:t xml:space="preserve">Ana Luíza Agra </w:t>
      </w:r>
      <w:proofErr w:type="spellStart"/>
      <w:r w:rsidRPr="002D0EA3">
        <w:rPr>
          <w:rFonts w:asciiTheme="minorHAnsi" w:hAnsiTheme="minorHAnsi" w:cstheme="minorHAnsi"/>
          <w:b/>
          <w:color w:val="000000"/>
          <w:sz w:val="22"/>
          <w:szCs w:val="22"/>
        </w:rPr>
        <w:t>Zaponi</w:t>
      </w:r>
      <w:proofErr w:type="spellEnd"/>
    </w:p>
    <w:p w14:paraId="21D513A6"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rPr>
      </w:pPr>
      <w:r w:rsidRPr="002D0EA3">
        <w:rPr>
          <w:rFonts w:asciiTheme="minorHAnsi" w:hAnsiTheme="minorHAnsi" w:cstheme="minorHAnsi"/>
          <w:b/>
          <w:color w:val="000000"/>
          <w:sz w:val="22"/>
          <w:szCs w:val="22"/>
        </w:rPr>
        <w:t xml:space="preserve">Advogada do Legislativo </w:t>
      </w:r>
    </w:p>
    <w:p w14:paraId="7053AF10" w14:textId="4F085423" w:rsidR="00554390" w:rsidRPr="002D0EA3" w:rsidRDefault="00C46DBF" w:rsidP="00D93250">
      <w:pPr>
        <w:pStyle w:val="NormalWeb"/>
        <w:spacing w:line="276" w:lineRule="auto"/>
        <w:jc w:val="center"/>
        <w:rPr>
          <w:rFonts w:asciiTheme="minorHAnsi" w:hAnsiTheme="minorHAnsi" w:cstheme="minorHAnsi"/>
          <w:sz w:val="22"/>
          <w:szCs w:val="22"/>
        </w:rPr>
      </w:pPr>
      <w:r w:rsidRPr="002D0EA3">
        <w:rPr>
          <w:rFonts w:asciiTheme="minorHAnsi" w:hAnsiTheme="minorHAnsi" w:cstheme="minorHAnsi"/>
          <w:b/>
          <w:color w:val="000000"/>
          <w:sz w:val="22"/>
          <w:szCs w:val="22"/>
        </w:rPr>
        <w:t>OAB/MG 222.104</w:t>
      </w:r>
      <w:bookmarkEnd w:id="0"/>
    </w:p>
    <w:sectPr w:rsidR="00554390" w:rsidRPr="002D0EA3"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1433" w14:textId="77777777" w:rsidR="004D3100" w:rsidRDefault="004D3100">
      <w:pPr>
        <w:spacing w:after="0" w:line="240" w:lineRule="auto"/>
      </w:pPr>
      <w:r>
        <w:separator/>
      </w:r>
    </w:p>
  </w:endnote>
  <w:endnote w:type="continuationSeparator" w:id="0">
    <w:p w14:paraId="716BB80B" w14:textId="77777777" w:rsidR="004D3100" w:rsidRDefault="004D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rsidP="00593412">
    <w:pPr>
      <w:pStyle w:val="Rodap"/>
      <w:ind w:left="142"/>
      <w:jc w:val="center"/>
      <w:rPr>
        <w:rFonts w:asciiTheme="minorHAnsi" w:hAnsiTheme="minorHAnsi" w:cstheme="minorHAnsi"/>
        <w:sz w:val="18"/>
        <w:szCs w:val="18"/>
      </w:rPr>
    </w:pPr>
  </w:p>
  <w:p w14:paraId="0A812F5E" w14:textId="4900D156" w:rsidR="00F17F52" w:rsidRPr="006148FC" w:rsidRDefault="00000000" w:rsidP="00593412">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rsidP="00593412">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rsidP="00593412">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F19D" w14:textId="77777777" w:rsidR="004D3100" w:rsidRDefault="004D3100">
      <w:pPr>
        <w:spacing w:after="0" w:line="240" w:lineRule="auto"/>
      </w:pPr>
      <w:r>
        <w:separator/>
      </w:r>
    </w:p>
  </w:footnote>
  <w:footnote w:type="continuationSeparator" w:id="0">
    <w:p w14:paraId="36C37197" w14:textId="77777777" w:rsidR="004D3100" w:rsidRDefault="004D3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rsidP="006148FC">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rsidP="006148FC">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rsidP="006148FC">
    <w:pPr>
      <w:pStyle w:val="Cabealho"/>
    </w:pPr>
  </w:p>
  <w:p w14:paraId="4680557F" w14:textId="77777777" w:rsidR="00F17F52" w:rsidRDefault="00F17F52" w:rsidP="006148FC">
    <w:pPr>
      <w:pStyle w:val="Cabealho"/>
    </w:pPr>
  </w:p>
  <w:p w14:paraId="4673AA15" w14:textId="77777777" w:rsidR="00B13EF6" w:rsidRDefault="00B13EF6" w:rsidP="006148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2630">
    <w:abstractNumId w:val="1"/>
  </w:num>
  <w:num w:numId="2" w16cid:durableId="266470529">
    <w:abstractNumId w:val="3"/>
  </w:num>
  <w:num w:numId="3" w16cid:durableId="1915164765">
    <w:abstractNumId w:val="0"/>
  </w:num>
  <w:num w:numId="4" w16cid:durableId="1294217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1B55"/>
    <w:rsid w:val="00036EBF"/>
    <w:rsid w:val="000420F7"/>
    <w:rsid w:val="00052FAA"/>
    <w:rsid w:val="00064553"/>
    <w:rsid w:val="00085638"/>
    <w:rsid w:val="000A123C"/>
    <w:rsid w:val="000C6F57"/>
    <w:rsid w:val="000D1E10"/>
    <w:rsid w:val="000E76FD"/>
    <w:rsid w:val="00103581"/>
    <w:rsid w:val="0011555A"/>
    <w:rsid w:val="00150FD5"/>
    <w:rsid w:val="0016339A"/>
    <w:rsid w:val="00165A83"/>
    <w:rsid w:val="001D11E7"/>
    <w:rsid w:val="001D5FD3"/>
    <w:rsid w:val="001E1583"/>
    <w:rsid w:val="001F316B"/>
    <w:rsid w:val="001F7468"/>
    <w:rsid w:val="00225415"/>
    <w:rsid w:val="0022621B"/>
    <w:rsid w:val="00246D57"/>
    <w:rsid w:val="0029679A"/>
    <w:rsid w:val="002A75BB"/>
    <w:rsid w:val="002C607D"/>
    <w:rsid w:val="002C7E84"/>
    <w:rsid w:val="002D0EA3"/>
    <w:rsid w:val="002D3D3B"/>
    <w:rsid w:val="003306A9"/>
    <w:rsid w:val="003545DF"/>
    <w:rsid w:val="003577C6"/>
    <w:rsid w:val="00377775"/>
    <w:rsid w:val="00395040"/>
    <w:rsid w:val="003A1B01"/>
    <w:rsid w:val="003A29EB"/>
    <w:rsid w:val="003A40A9"/>
    <w:rsid w:val="003A4598"/>
    <w:rsid w:val="003A4A2B"/>
    <w:rsid w:val="003D40D8"/>
    <w:rsid w:val="003D7C40"/>
    <w:rsid w:val="003F25DB"/>
    <w:rsid w:val="00447F0D"/>
    <w:rsid w:val="00471ADE"/>
    <w:rsid w:val="00491D3F"/>
    <w:rsid w:val="004D3100"/>
    <w:rsid w:val="004F2EE7"/>
    <w:rsid w:val="005045E6"/>
    <w:rsid w:val="00513D70"/>
    <w:rsid w:val="00520277"/>
    <w:rsid w:val="005275F5"/>
    <w:rsid w:val="00527C81"/>
    <w:rsid w:val="00533A89"/>
    <w:rsid w:val="00553C4F"/>
    <w:rsid w:val="00554390"/>
    <w:rsid w:val="005B685F"/>
    <w:rsid w:val="005D76E9"/>
    <w:rsid w:val="005E2AC2"/>
    <w:rsid w:val="005F6EF5"/>
    <w:rsid w:val="00624190"/>
    <w:rsid w:val="00636B63"/>
    <w:rsid w:val="00654CBC"/>
    <w:rsid w:val="00670DFF"/>
    <w:rsid w:val="006B1A17"/>
    <w:rsid w:val="006B376D"/>
    <w:rsid w:val="006E3BE4"/>
    <w:rsid w:val="00712768"/>
    <w:rsid w:val="00722045"/>
    <w:rsid w:val="00727309"/>
    <w:rsid w:val="00765C9F"/>
    <w:rsid w:val="007B770E"/>
    <w:rsid w:val="007E0FCA"/>
    <w:rsid w:val="007E6108"/>
    <w:rsid w:val="00835D7A"/>
    <w:rsid w:val="00842791"/>
    <w:rsid w:val="008723A8"/>
    <w:rsid w:val="00880DF9"/>
    <w:rsid w:val="00885851"/>
    <w:rsid w:val="008C30BC"/>
    <w:rsid w:val="008E040F"/>
    <w:rsid w:val="008E20A4"/>
    <w:rsid w:val="008E4C12"/>
    <w:rsid w:val="008F6E78"/>
    <w:rsid w:val="00940132"/>
    <w:rsid w:val="00940676"/>
    <w:rsid w:val="00943496"/>
    <w:rsid w:val="00944B60"/>
    <w:rsid w:val="00962B89"/>
    <w:rsid w:val="00991967"/>
    <w:rsid w:val="009D7F55"/>
    <w:rsid w:val="00A0421E"/>
    <w:rsid w:val="00A13AA2"/>
    <w:rsid w:val="00A15093"/>
    <w:rsid w:val="00A40871"/>
    <w:rsid w:val="00A641CF"/>
    <w:rsid w:val="00A9445D"/>
    <w:rsid w:val="00AC49D1"/>
    <w:rsid w:val="00AC680F"/>
    <w:rsid w:val="00B13EF6"/>
    <w:rsid w:val="00B63444"/>
    <w:rsid w:val="00B722C0"/>
    <w:rsid w:val="00B74C42"/>
    <w:rsid w:val="00B81E4D"/>
    <w:rsid w:val="00B8405D"/>
    <w:rsid w:val="00BA6D55"/>
    <w:rsid w:val="00BD5812"/>
    <w:rsid w:val="00BD7E03"/>
    <w:rsid w:val="00BF31EF"/>
    <w:rsid w:val="00BF5ABB"/>
    <w:rsid w:val="00C02DDA"/>
    <w:rsid w:val="00C46DBF"/>
    <w:rsid w:val="00C73FA9"/>
    <w:rsid w:val="00C776E5"/>
    <w:rsid w:val="00CB0E8A"/>
    <w:rsid w:val="00CC4212"/>
    <w:rsid w:val="00CE30E4"/>
    <w:rsid w:val="00CE3813"/>
    <w:rsid w:val="00D021DD"/>
    <w:rsid w:val="00D4022E"/>
    <w:rsid w:val="00D6171E"/>
    <w:rsid w:val="00D6177A"/>
    <w:rsid w:val="00D93250"/>
    <w:rsid w:val="00DF6577"/>
    <w:rsid w:val="00E03F65"/>
    <w:rsid w:val="00E65A85"/>
    <w:rsid w:val="00E95412"/>
    <w:rsid w:val="00ED16F5"/>
    <w:rsid w:val="00EE216A"/>
    <w:rsid w:val="00F17F52"/>
    <w:rsid w:val="00F311CC"/>
    <w:rsid w:val="00F35AE2"/>
    <w:rsid w:val="00F54B3A"/>
    <w:rsid w:val="00F5659E"/>
    <w:rsid w:val="00F61458"/>
    <w:rsid w:val="00F724C7"/>
    <w:rsid w:val="00F96272"/>
    <w:rsid w:val="00FB3BA0"/>
    <w:rsid w:val="00FC2E7D"/>
    <w:rsid w:val="00FC5F47"/>
    <w:rsid w:val="00FD28E4"/>
    <w:rsid w:val="00FE37F9"/>
    <w:rsid w:val="00FF0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31076DA0-3E75-4F26-B1F2-FF47E91D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2164</Words>
  <Characters>11686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3</cp:revision>
  <cp:lastPrinted>2025-02-17T21:06:00Z</cp:lastPrinted>
  <dcterms:created xsi:type="dcterms:W3CDTF">2025-02-17T21:54:00Z</dcterms:created>
  <dcterms:modified xsi:type="dcterms:W3CDTF">2025-02-17T22:17:00Z</dcterms:modified>
</cp:coreProperties>
</file>