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299D7545" w:rsidR="00C46DBF" w:rsidRPr="003F4B95" w:rsidRDefault="00C46DBF" w:rsidP="001A36A0">
      <w:pPr>
        <w:spacing w:before="120" w:after="0" w:line="276" w:lineRule="auto"/>
        <w:jc w:val="center"/>
        <w:rPr>
          <w:rFonts w:asciiTheme="minorHAnsi" w:hAnsiTheme="minorHAnsi" w:cstheme="minorHAnsi"/>
          <w:b/>
          <w:sz w:val="21"/>
          <w:szCs w:val="21"/>
          <w:u w:val="single"/>
        </w:rPr>
      </w:pPr>
      <w:bookmarkStart w:id="0" w:name="_Hlk143527044"/>
      <w:r w:rsidRPr="003F4B95">
        <w:rPr>
          <w:rFonts w:asciiTheme="minorHAnsi" w:hAnsiTheme="minorHAnsi" w:cstheme="minorHAnsi"/>
          <w:b/>
          <w:sz w:val="21"/>
          <w:szCs w:val="21"/>
          <w:u w:val="single"/>
        </w:rPr>
        <w:t xml:space="preserve">Parecer Jurídico nº </w:t>
      </w:r>
      <w:r w:rsidR="003F4B95" w:rsidRPr="003F4B95">
        <w:rPr>
          <w:rFonts w:asciiTheme="minorHAnsi" w:hAnsiTheme="minorHAnsi" w:cstheme="minorHAnsi"/>
          <w:b/>
          <w:sz w:val="21"/>
          <w:szCs w:val="21"/>
          <w:u w:val="single"/>
        </w:rPr>
        <w:t>19</w:t>
      </w:r>
      <w:r w:rsidRPr="003F4B95">
        <w:rPr>
          <w:rFonts w:asciiTheme="minorHAnsi" w:hAnsiTheme="minorHAnsi" w:cstheme="minorHAnsi"/>
          <w:b/>
          <w:sz w:val="21"/>
          <w:szCs w:val="21"/>
          <w:u w:val="single"/>
        </w:rPr>
        <w:t>/</w:t>
      </w:r>
      <w:r w:rsidR="00F17A9D" w:rsidRPr="003F4B95">
        <w:rPr>
          <w:rFonts w:asciiTheme="minorHAnsi" w:hAnsiTheme="minorHAnsi" w:cstheme="minorHAnsi"/>
          <w:b/>
          <w:sz w:val="21"/>
          <w:szCs w:val="21"/>
          <w:u w:val="single"/>
        </w:rPr>
        <w:t>2025</w:t>
      </w:r>
      <w:r w:rsidRPr="003F4B95">
        <w:rPr>
          <w:rFonts w:asciiTheme="minorHAnsi" w:hAnsiTheme="minorHAnsi" w:cstheme="minorHAnsi"/>
          <w:b/>
          <w:sz w:val="21"/>
          <w:szCs w:val="21"/>
          <w:u w:val="single"/>
        </w:rPr>
        <w:t xml:space="preserve"> – </w:t>
      </w:r>
      <w:proofErr w:type="spellStart"/>
      <w:r w:rsidRPr="003F4B95">
        <w:rPr>
          <w:rFonts w:asciiTheme="minorHAnsi" w:hAnsiTheme="minorHAnsi" w:cstheme="minorHAnsi"/>
          <w:b/>
          <w:sz w:val="21"/>
          <w:szCs w:val="21"/>
          <w:u w:val="single"/>
        </w:rPr>
        <w:t>CMCDM</w:t>
      </w:r>
      <w:proofErr w:type="spellEnd"/>
    </w:p>
    <w:p w14:paraId="41B93C46" w14:textId="77777777" w:rsidR="00C46DBF" w:rsidRPr="003F4B95" w:rsidRDefault="00C46DBF" w:rsidP="001A36A0">
      <w:pPr>
        <w:spacing w:before="120" w:after="0" w:line="276" w:lineRule="auto"/>
        <w:ind w:firstLine="851"/>
        <w:jc w:val="center"/>
        <w:rPr>
          <w:rFonts w:asciiTheme="minorHAnsi" w:hAnsiTheme="minorHAnsi" w:cstheme="minorHAnsi"/>
          <w:b/>
          <w:sz w:val="21"/>
          <w:szCs w:val="21"/>
          <w:u w:val="single"/>
        </w:rPr>
      </w:pPr>
    </w:p>
    <w:p w14:paraId="30D72C16" w14:textId="42831E89" w:rsidR="00C02DDA" w:rsidRPr="003F4B95" w:rsidRDefault="00C02DDA" w:rsidP="001A36A0">
      <w:pPr>
        <w:spacing w:before="120" w:after="0" w:line="276" w:lineRule="auto"/>
        <w:ind w:left="4536"/>
        <w:jc w:val="both"/>
        <w:rPr>
          <w:rFonts w:asciiTheme="minorHAnsi" w:hAnsiTheme="minorHAnsi" w:cstheme="minorHAnsi"/>
          <w:b/>
          <w:sz w:val="21"/>
          <w:szCs w:val="21"/>
        </w:rPr>
      </w:pPr>
      <w:r w:rsidRPr="003F4B95">
        <w:rPr>
          <w:rFonts w:asciiTheme="minorHAnsi" w:hAnsiTheme="minorHAnsi" w:cstheme="minorHAnsi"/>
          <w:b/>
          <w:sz w:val="21"/>
          <w:szCs w:val="21"/>
        </w:rPr>
        <w:t xml:space="preserve">EMENTA: ANÁLISE DE CONSTITUCIONALIDADE, LEGALIDADE E JURIDICIDADE DE PROPOSIÇÃO LEGISLATIVA. OPINA </w:t>
      </w:r>
      <w:r w:rsidR="003053CB" w:rsidRPr="003F4B95">
        <w:rPr>
          <w:rFonts w:asciiTheme="minorHAnsi" w:hAnsiTheme="minorHAnsi" w:cstheme="minorHAnsi"/>
          <w:b/>
          <w:sz w:val="21"/>
          <w:szCs w:val="21"/>
        </w:rPr>
        <w:t>PELA ADEQUAÇÃO DO TEXTO</w:t>
      </w:r>
      <w:r w:rsidRPr="003F4B95">
        <w:rPr>
          <w:rFonts w:asciiTheme="minorHAnsi" w:hAnsiTheme="minorHAnsi" w:cstheme="minorHAnsi"/>
          <w:b/>
          <w:sz w:val="21"/>
          <w:szCs w:val="21"/>
        </w:rPr>
        <w:t>.</w:t>
      </w:r>
      <w:r w:rsidR="003053CB" w:rsidRPr="003F4B95">
        <w:rPr>
          <w:rFonts w:asciiTheme="minorHAnsi" w:hAnsiTheme="minorHAnsi" w:cstheme="minorHAnsi"/>
          <w:b/>
          <w:sz w:val="21"/>
          <w:szCs w:val="21"/>
        </w:rPr>
        <w:t xml:space="preserve"> DISPOSITIVOS DE COMPETÊNCIA PRIVATIVA DO PODER EXECUTIVO. </w:t>
      </w:r>
    </w:p>
    <w:p w14:paraId="47A3F1AB" w14:textId="77777777" w:rsidR="00C46DBF" w:rsidRPr="003F4B95" w:rsidRDefault="00C46DBF" w:rsidP="001A36A0">
      <w:pPr>
        <w:spacing w:before="120" w:after="0" w:line="276" w:lineRule="auto"/>
        <w:jc w:val="both"/>
        <w:rPr>
          <w:rFonts w:asciiTheme="minorHAnsi" w:hAnsiTheme="minorHAnsi" w:cstheme="minorHAnsi"/>
          <w:b/>
          <w:sz w:val="21"/>
          <w:szCs w:val="21"/>
        </w:rPr>
      </w:pPr>
    </w:p>
    <w:p w14:paraId="4D4A1965"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b/>
          <w:bCs/>
          <w:sz w:val="21"/>
          <w:szCs w:val="21"/>
        </w:rPr>
        <w:t>Assunto:</w:t>
      </w:r>
      <w:r w:rsidRPr="003F4B95">
        <w:rPr>
          <w:rFonts w:asciiTheme="minorHAnsi" w:hAnsiTheme="minorHAnsi" w:cstheme="minorHAnsi"/>
          <w:sz w:val="21"/>
          <w:szCs w:val="21"/>
        </w:rPr>
        <w:t xml:space="preserve"> Análise do Projeto de Lei nº 1.894/2025, que dispõe sobre a proibição da eleição de representantes de eventos culturais mediante arrecadação financeira nas escolas públicas do Município de Carmo da Mata.</w:t>
      </w:r>
    </w:p>
    <w:p w14:paraId="59B30B3B" w14:textId="2EBD0864"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b/>
          <w:bCs/>
          <w:sz w:val="21"/>
          <w:szCs w:val="21"/>
        </w:rPr>
        <w:t>Autor:</w:t>
      </w:r>
      <w:r w:rsidRPr="003F4B95">
        <w:rPr>
          <w:rFonts w:asciiTheme="minorHAnsi" w:hAnsiTheme="minorHAnsi" w:cstheme="minorHAnsi"/>
          <w:sz w:val="21"/>
          <w:szCs w:val="21"/>
        </w:rPr>
        <w:t xml:space="preserve"> Vereador Leo Cruz.</w:t>
      </w:r>
    </w:p>
    <w:p w14:paraId="4D2241FE"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p>
    <w:p w14:paraId="6716B3B6"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RELATÓRIO</w:t>
      </w:r>
    </w:p>
    <w:p w14:paraId="44C2C10F" w14:textId="364A9A85"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br/>
        <w:t>O presente parecer jurídico versa sobre o Projeto de Lei nº 1.894/2025, que tem por objetivo proibir, nas escolas públicas municipais, a realização de campanhas para eleição de representantes de eventos culturais que se baseiem na venda de bilhetes, rifas ou outras formas de arrecadação financeira por parte dos estudantes, determinando a adoção de critérios pedagógicos e inclusivos para tal escolha.</w:t>
      </w:r>
    </w:p>
    <w:p w14:paraId="4DC2E77E"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p>
    <w:p w14:paraId="1D9C8AAC" w14:textId="603EB782" w:rsidR="003F4B95" w:rsidRPr="003F4B95" w:rsidRDefault="003F4B95" w:rsidP="003F4B95">
      <w:pPr>
        <w:spacing w:before="120" w:after="0" w:line="276" w:lineRule="auto"/>
        <w:rPr>
          <w:rFonts w:asciiTheme="minorHAnsi" w:hAnsiTheme="minorHAnsi" w:cstheme="minorHAnsi"/>
          <w:sz w:val="21"/>
          <w:szCs w:val="21"/>
          <w:lang w:eastAsia="en-US"/>
        </w:rPr>
      </w:pPr>
      <w:r w:rsidRPr="003F4B95">
        <w:rPr>
          <w:rFonts w:asciiTheme="minorHAnsi" w:hAnsiTheme="minorHAnsi" w:cstheme="minorHAnsi"/>
          <w:b/>
          <w:sz w:val="21"/>
          <w:szCs w:val="21"/>
          <w:lang w:eastAsia="en-US"/>
        </w:rPr>
        <w:t>DO ÂMBITO DE ATRIBUIÇÃO DO ASSESSORAMENTO JURÍDICO</w:t>
      </w:r>
    </w:p>
    <w:p w14:paraId="1980A7F4" w14:textId="77777777" w:rsidR="003F4B95" w:rsidRPr="003F4B95" w:rsidRDefault="003F4B95" w:rsidP="003F4B95">
      <w:pPr>
        <w:spacing w:before="120" w:after="0" w:line="276" w:lineRule="auto"/>
        <w:ind w:firstLine="851"/>
        <w:jc w:val="both"/>
        <w:rPr>
          <w:rFonts w:asciiTheme="minorHAnsi" w:hAnsiTheme="minorHAnsi" w:cstheme="minorHAnsi"/>
          <w:sz w:val="21"/>
          <w:szCs w:val="21"/>
          <w:lang w:eastAsia="en-US"/>
        </w:rPr>
      </w:pPr>
      <w:r w:rsidRPr="003F4B95">
        <w:rPr>
          <w:rFonts w:asciiTheme="minorHAnsi" w:hAnsiTheme="minorHAnsi" w:cstheme="minorHAnsi"/>
          <w:sz w:val="21"/>
          <w:szCs w:val="21"/>
          <w:lang w:eastAsia="en-US"/>
        </w:rPr>
        <w:t xml:space="preserve">Preliminarmente à análise da minuta, esta Procuradoria Legislativa esclarece que a presente manifestação dar-se-á sob o ponto de vista estritamente jurídico, desbordando do objetivo do presente Parecer a análise do mérito legislativo e/ou administrativo, notadamente quanto ao juízo dos parlamentares a respeito de seus respectivos votos e ao juízo do gestor a respeito da oportunidade e conveniência da prática de atos à luz do interesse público. </w:t>
      </w:r>
    </w:p>
    <w:p w14:paraId="77B7E958" w14:textId="77777777" w:rsidR="003F4B95" w:rsidRPr="003F4B95" w:rsidRDefault="003F4B95" w:rsidP="003F4B95">
      <w:pPr>
        <w:spacing w:before="120" w:after="0" w:line="276" w:lineRule="auto"/>
        <w:ind w:firstLine="851"/>
        <w:jc w:val="both"/>
        <w:rPr>
          <w:rFonts w:asciiTheme="minorHAnsi" w:hAnsiTheme="minorHAnsi" w:cstheme="minorHAnsi"/>
          <w:sz w:val="21"/>
          <w:szCs w:val="21"/>
        </w:rPr>
      </w:pPr>
      <w:r w:rsidRPr="003F4B95">
        <w:rPr>
          <w:rFonts w:asciiTheme="minorHAnsi" w:hAnsiTheme="minorHAnsi" w:cstheme="minorHAnsi"/>
          <w:sz w:val="21"/>
          <w:szCs w:val="21"/>
        </w:rPr>
        <w:t>A definição do escopo da análise pela Advocacia Legislativa é objeto de orientação no âmbito deste órgão, conforme Anexo IV da Lei Complementar Municipal nº 65 de 12 de dezembro de 2012, alterada pela Lei Complementar Municipal nº 97 de 08 de janeiro de 2022, abaixo transcrito:</w:t>
      </w:r>
    </w:p>
    <w:p w14:paraId="657FCD87" w14:textId="77777777" w:rsidR="003F4B95" w:rsidRPr="003F4B95" w:rsidRDefault="003F4B95" w:rsidP="003F4B95">
      <w:pPr>
        <w:numPr>
          <w:ilvl w:val="0"/>
          <w:numId w:val="1"/>
        </w:numPr>
        <w:spacing w:before="120" w:after="0" w:line="276" w:lineRule="auto"/>
        <w:ind w:left="2268"/>
        <w:jc w:val="both"/>
        <w:rPr>
          <w:rFonts w:asciiTheme="minorHAnsi" w:hAnsiTheme="minorHAnsi" w:cstheme="minorHAnsi"/>
          <w:i/>
          <w:sz w:val="21"/>
          <w:szCs w:val="21"/>
        </w:rPr>
      </w:pPr>
      <w:r w:rsidRPr="003F4B95">
        <w:rPr>
          <w:rFonts w:asciiTheme="minorHAnsi" w:hAnsiTheme="minorHAnsi" w:cstheme="minorHAnsi"/>
          <w:i/>
          <w:sz w:val="21"/>
          <w:szCs w:val="21"/>
        </w:rPr>
        <w:t>Manifestar ou opinar por meio de pareceres escritos sobre a interpretação de textos legais e projetos de leis e demais atos normativos;</w:t>
      </w:r>
    </w:p>
    <w:p w14:paraId="72FC97EB" w14:textId="77777777" w:rsidR="003F4B95" w:rsidRPr="003F4B95" w:rsidRDefault="003F4B95" w:rsidP="003F4B95">
      <w:pPr>
        <w:numPr>
          <w:ilvl w:val="0"/>
          <w:numId w:val="1"/>
        </w:numPr>
        <w:spacing w:before="120" w:after="0" w:line="276" w:lineRule="auto"/>
        <w:ind w:left="2268"/>
        <w:jc w:val="both"/>
        <w:rPr>
          <w:rFonts w:asciiTheme="minorHAnsi" w:hAnsiTheme="minorHAnsi" w:cstheme="minorHAnsi"/>
          <w:i/>
          <w:sz w:val="21"/>
          <w:szCs w:val="21"/>
        </w:rPr>
      </w:pPr>
      <w:r w:rsidRPr="003F4B95">
        <w:rPr>
          <w:rFonts w:asciiTheme="minorHAnsi" w:hAnsiTheme="minorHAnsi" w:cstheme="minorHAnsi"/>
          <w:i/>
          <w:sz w:val="21"/>
          <w:szCs w:val="21"/>
        </w:rPr>
        <w:t>Emitir pareceres sobre questões jurídicas e legais e manifestar-se sobre a constitucionalidade de todos os projetos de leis apresentados via parecer;</w:t>
      </w:r>
    </w:p>
    <w:p w14:paraId="5F5D1771" w14:textId="77777777" w:rsidR="003F4B95" w:rsidRPr="003F4B95" w:rsidRDefault="003F4B95" w:rsidP="003F4B95">
      <w:pPr>
        <w:spacing w:before="120" w:after="0" w:line="276" w:lineRule="auto"/>
        <w:ind w:firstLine="851"/>
        <w:jc w:val="both"/>
        <w:rPr>
          <w:rFonts w:asciiTheme="minorHAnsi" w:hAnsiTheme="minorHAnsi" w:cstheme="minorHAnsi"/>
          <w:sz w:val="21"/>
          <w:szCs w:val="21"/>
          <w:lang w:eastAsia="en-US"/>
        </w:rPr>
      </w:pPr>
    </w:p>
    <w:p w14:paraId="11593AAC" w14:textId="77777777" w:rsidR="003F4B95" w:rsidRPr="003F4B95" w:rsidRDefault="003F4B95" w:rsidP="003F4B95">
      <w:pPr>
        <w:spacing w:before="120" w:after="0" w:line="276" w:lineRule="auto"/>
        <w:ind w:firstLine="851"/>
        <w:jc w:val="both"/>
        <w:rPr>
          <w:rFonts w:asciiTheme="minorHAnsi" w:hAnsiTheme="minorHAnsi" w:cstheme="minorHAnsi"/>
          <w:sz w:val="21"/>
          <w:szCs w:val="21"/>
          <w:lang w:eastAsia="en-US"/>
        </w:rPr>
      </w:pPr>
      <w:r w:rsidRPr="003F4B95">
        <w:rPr>
          <w:rFonts w:asciiTheme="minorHAnsi" w:hAnsiTheme="minorHAnsi" w:cstheme="minorHAnsi"/>
          <w:sz w:val="21"/>
          <w:szCs w:val="21"/>
          <w:lang w:eastAsia="en-US"/>
        </w:rPr>
        <w:lastRenderedPageBreak/>
        <w:t xml:space="preserve">Por fim, esclarece-se que a presente manifestação se limitará aos aspectos jurídicos, vez </w:t>
      </w:r>
      <w:r w:rsidRPr="003F4B95">
        <w:rPr>
          <w:rFonts w:asciiTheme="minorHAnsi" w:hAnsiTheme="minorHAnsi" w:cstheme="minorHAnsi"/>
          <w:b/>
          <w:sz w:val="21"/>
          <w:szCs w:val="21"/>
          <w:u w:val="single"/>
          <w:lang w:eastAsia="en-US"/>
        </w:rPr>
        <w:t>que não se encontra no âmbito de atribuição desta Procuradoria Legislativa avaliar questões técnicas e operacionais</w:t>
      </w:r>
      <w:r w:rsidRPr="003F4B95">
        <w:rPr>
          <w:rFonts w:asciiTheme="minorHAnsi" w:hAnsiTheme="minorHAnsi" w:cstheme="minorHAnsi"/>
          <w:sz w:val="21"/>
          <w:szCs w:val="21"/>
          <w:lang w:eastAsia="en-US"/>
        </w:rPr>
        <w:t>, tendo a manifestação amparo na presunção de veracidade das informações e justificativas prestadas pelos agentes públicos envolvidos, no exercício das respectivas competências institucionais.</w:t>
      </w:r>
    </w:p>
    <w:p w14:paraId="75677911"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p>
    <w:p w14:paraId="2E7397EC" w14:textId="086073B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DA ANÁLISE JURÍDICA</w:t>
      </w:r>
    </w:p>
    <w:p w14:paraId="2E4CABAF"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 – DA PREJUDICIALIDADE E ACEITAÇÃO</w:t>
      </w:r>
    </w:p>
    <w:p w14:paraId="7E753084" w14:textId="7B2BF328"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A proposição não padece de vícios que ensejem sua prejudicialidade, tampouco encontra óbices à sua aceitação, à luz dos artigos 45, IX, e 133 do Regimento Interno da Câmara Municipal de Carmo da Mata. Trata-se de matéria inédita, de interesse local, e revestida de relevância pedagógica e social.</w:t>
      </w:r>
    </w:p>
    <w:p w14:paraId="7A4CB477"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04AC6369" w14:textId="646E6605"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II – DA COMPETÊNCIA PARA INICIATIVA LEGISLATIVA</w:t>
      </w:r>
    </w:p>
    <w:p w14:paraId="70D33083" w14:textId="6BB43396"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A matéria insere-se na competência legislativa municipal, nos termos do art. 30, I e II, da Constituição Federal, que permite ao Município legislar sobre assuntos de interesse local e suplementar a legislação federal e estadual no que couber. A Lei Orgânica Municipal reforça essa prerrogativa (</w:t>
      </w:r>
      <w:proofErr w:type="spellStart"/>
      <w:r w:rsidRPr="003F4B95">
        <w:rPr>
          <w:rFonts w:asciiTheme="minorHAnsi" w:hAnsiTheme="minorHAnsi" w:cstheme="minorHAnsi"/>
          <w:sz w:val="21"/>
          <w:szCs w:val="21"/>
        </w:rPr>
        <w:t>arts</w:t>
      </w:r>
      <w:proofErr w:type="spellEnd"/>
      <w:r w:rsidRPr="003F4B95">
        <w:rPr>
          <w:rFonts w:asciiTheme="minorHAnsi" w:hAnsiTheme="minorHAnsi" w:cstheme="minorHAnsi"/>
          <w:sz w:val="21"/>
          <w:szCs w:val="21"/>
        </w:rPr>
        <w:t>. 3º, VI, e 11, II, IV e XII) ao prever a promoção de políticas públicas que assegurem a justiça social, a equidade e a dignidade humana.</w:t>
      </w:r>
    </w:p>
    <w:p w14:paraId="70F8F577"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 xml:space="preserve">A proposição não trata de organização administrativa, criação de cargos ou regime jurídico de servidores, o que afasta qualquer hipótese de reserva de iniciativa ao Poder Executivo, conforme jurisprudência reiterada do STF nas </w:t>
      </w:r>
      <w:proofErr w:type="spellStart"/>
      <w:r w:rsidRPr="003F4B95">
        <w:rPr>
          <w:rFonts w:asciiTheme="minorHAnsi" w:hAnsiTheme="minorHAnsi" w:cstheme="minorHAnsi"/>
          <w:sz w:val="21"/>
          <w:szCs w:val="21"/>
        </w:rPr>
        <w:t>ADIs</w:t>
      </w:r>
      <w:proofErr w:type="spellEnd"/>
      <w:r w:rsidRPr="003F4B95">
        <w:rPr>
          <w:rFonts w:asciiTheme="minorHAnsi" w:hAnsiTheme="minorHAnsi" w:cstheme="minorHAnsi"/>
          <w:sz w:val="21"/>
          <w:szCs w:val="21"/>
        </w:rPr>
        <w:t xml:space="preserve"> 2.672, 3.394, 2.072 e Tema 917.</w:t>
      </w:r>
    </w:p>
    <w:p w14:paraId="3516ECCA"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0EDFD388"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III – DA ESPÉCIE NORMATIVA</w:t>
      </w:r>
    </w:p>
    <w:p w14:paraId="19EDDB61" w14:textId="3BC2B284"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A utilização de projeto de lei ordinária é adequada ao objeto da proposição, nos termos do art. 59 da Constituição Federal e da Lei Complementar Municipal nº 110/2024, que disciplina a elaboração legislativa.</w:t>
      </w:r>
    </w:p>
    <w:p w14:paraId="45AC36FC"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249E7715"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IV – DA ANÁLISE MATERIAL</w:t>
      </w:r>
    </w:p>
    <w:p w14:paraId="5505E989" w14:textId="6E4B3213"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O projeto apresenta clara finalidade de promoção da igualdade de oportunidades entre os estudantes, alinhando-se aos princípios constitucionais da dignidade da pessoa humana (art. 1º, III), da isonomia (art. 5º, caput) e da proteção integral à criança e ao adolescente (art. 227 da CF).</w:t>
      </w:r>
    </w:p>
    <w:p w14:paraId="5EDD09AE"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A vedação da escolha de representantes com base em arrecadação financeira tem por escopo coibir práticas discriminatórias e excludentes, especialmente em comunidades escolares marcadas por disparidades socioeconômicas. A determinação de critérios pedagógicos e inclusivos para tal escolha se coaduna com as diretrizes da Lei de Diretrizes e Bases da Educação Nacional (Lei nº 9.394/1996) e com os princípios da gestão democrática e da igualdade de acesso.</w:t>
      </w:r>
    </w:p>
    <w:p w14:paraId="475C90FC"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31C9B97D" w14:textId="3173ED1F"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lastRenderedPageBreak/>
        <w:t>V – DAS CONTROVÉRSIAS JURISPRUDENCIAIS E DOUTRINÁRIAS</w:t>
      </w:r>
    </w:p>
    <w:p w14:paraId="60C93B0A" w14:textId="22DDC8FA"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 xml:space="preserve">Não se identificam controvérsias jurisprudenciais relevantes sobre o tema, sendo pacífico o entendimento quanto à legitimidade do Município para dispor sobre organização e funcionamento de suas escolas, inclusive quanto a regras que promovam a igualdade e evitem discriminações indiretas. A doutrina respalda a normatização local que busque assegurar direitos fundamentais e políticas públicas inclusivas (Ingo Wolfgang </w:t>
      </w:r>
      <w:proofErr w:type="spellStart"/>
      <w:r w:rsidRPr="003F4B95">
        <w:rPr>
          <w:rFonts w:asciiTheme="minorHAnsi" w:hAnsiTheme="minorHAnsi" w:cstheme="minorHAnsi"/>
          <w:sz w:val="21"/>
          <w:szCs w:val="21"/>
        </w:rPr>
        <w:t>Sarlet</w:t>
      </w:r>
      <w:proofErr w:type="spellEnd"/>
      <w:r w:rsidRPr="003F4B95">
        <w:rPr>
          <w:rFonts w:asciiTheme="minorHAnsi" w:hAnsiTheme="minorHAnsi" w:cstheme="minorHAnsi"/>
          <w:sz w:val="21"/>
          <w:szCs w:val="21"/>
        </w:rPr>
        <w:t xml:space="preserve">, </w:t>
      </w:r>
      <w:r w:rsidRPr="003F4B95">
        <w:rPr>
          <w:rFonts w:asciiTheme="minorHAnsi" w:hAnsiTheme="minorHAnsi" w:cstheme="minorHAnsi"/>
          <w:i/>
          <w:iCs/>
          <w:sz w:val="21"/>
          <w:szCs w:val="21"/>
        </w:rPr>
        <w:t>Dignidade da Pessoa Humana e Direitos Fundamentais</w:t>
      </w:r>
      <w:r w:rsidRPr="003F4B95">
        <w:rPr>
          <w:rFonts w:asciiTheme="minorHAnsi" w:hAnsiTheme="minorHAnsi" w:cstheme="minorHAnsi"/>
          <w:sz w:val="21"/>
          <w:szCs w:val="21"/>
        </w:rPr>
        <w:t>).</w:t>
      </w:r>
    </w:p>
    <w:p w14:paraId="4B17DFAD" w14:textId="77777777" w:rsidR="003F4B95" w:rsidRPr="003F4B95" w:rsidRDefault="003F4B95" w:rsidP="003F4B95">
      <w:pPr>
        <w:pStyle w:val="Default"/>
        <w:spacing w:before="120" w:line="276" w:lineRule="auto"/>
        <w:jc w:val="both"/>
        <w:rPr>
          <w:rFonts w:asciiTheme="minorHAnsi" w:hAnsiTheme="minorHAnsi" w:cstheme="minorHAnsi"/>
          <w:sz w:val="21"/>
          <w:szCs w:val="21"/>
        </w:rPr>
      </w:pPr>
    </w:p>
    <w:p w14:paraId="2EAF05DF"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VI – DA RESPONSABILIDADE COM A DESPESA PÚBLICA</w:t>
      </w:r>
    </w:p>
    <w:p w14:paraId="22EADEE1" w14:textId="0B8108F7"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O projeto não implica criação de despesa pública nem transfere encargos financeiros ao Município. Trata-se de norma de caráter organizativo e disciplinar quanto a práticas escolares, com impacto administrativo mínimo.</w:t>
      </w:r>
    </w:p>
    <w:p w14:paraId="23A781D9"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p>
    <w:p w14:paraId="18B40815" w14:textId="77777777" w:rsidR="003F4B95" w:rsidRPr="003F4B95" w:rsidRDefault="003F4B95" w:rsidP="003F4B95">
      <w:pPr>
        <w:pStyle w:val="Default"/>
        <w:spacing w:before="120" w:line="276" w:lineRule="auto"/>
        <w:jc w:val="both"/>
        <w:rPr>
          <w:rFonts w:asciiTheme="minorHAnsi" w:hAnsiTheme="minorHAnsi" w:cstheme="minorHAnsi"/>
          <w:b/>
          <w:bCs/>
          <w:sz w:val="21"/>
          <w:szCs w:val="21"/>
        </w:rPr>
      </w:pPr>
      <w:r w:rsidRPr="003F4B95">
        <w:rPr>
          <w:rFonts w:asciiTheme="minorHAnsi" w:hAnsiTheme="minorHAnsi" w:cstheme="minorHAnsi"/>
          <w:b/>
          <w:bCs/>
          <w:sz w:val="21"/>
          <w:szCs w:val="21"/>
        </w:rPr>
        <w:t>VII – DA TÉCNICA LEGISLATIVA</w:t>
      </w:r>
    </w:p>
    <w:p w14:paraId="277514F6" w14:textId="10CC802D" w:rsidR="003F4B95" w:rsidRPr="003F4B95" w:rsidRDefault="003F4B95" w:rsidP="003F4B95">
      <w:pPr>
        <w:pStyle w:val="Default"/>
        <w:spacing w:before="120" w:line="276" w:lineRule="auto"/>
        <w:jc w:val="both"/>
        <w:rPr>
          <w:rFonts w:asciiTheme="minorHAnsi" w:hAnsiTheme="minorHAnsi" w:cstheme="minorHAnsi"/>
          <w:sz w:val="21"/>
          <w:szCs w:val="21"/>
        </w:rPr>
      </w:pPr>
      <w:r w:rsidRPr="003F4B95">
        <w:rPr>
          <w:rFonts w:asciiTheme="minorHAnsi" w:hAnsiTheme="minorHAnsi" w:cstheme="minorHAnsi"/>
          <w:sz w:val="21"/>
          <w:szCs w:val="21"/>
        </w:rPr>
        <w:t xml:space="preserve">A redação é clara, precisa e está em conformidade com os parâmetros da Lei Complementar nº 110/2024 e com o Manual de Redação Parlamentar. </w:t>
      </w:r>
    </w:p>
    <w:p w14:paraId="35DDB4CE" w14:textId="77777777" w:rsidR="00636B63" w:rsidRPr="003F4B95" w:rsidRDefault="00636B63" w:rsidP="001A36A0">
      <w:pPr>
        <w:pStyle w:val="Default"/>
        <w:spacing w:before="120" w:line="276" w:lineRule="auto"/>
        <w:jc w:val="both"/>
        <w:rPr>
          <w:rFonts w:asciiTheme="minorHAnsi" w:hAnsiTheme="minorHAnsi" w:cstheme="minorHAnsi"/>
          <w:color w:val="auto"/>
          <w:sz w:val="21"/>
          <w:szCs w:val="21"/>
        </w:rPr>
      </w:pPr>
    </w:p>
    <w:p w14:paraId="401FC375" w14:textId="164A0AE6" w:rsidR="00636B63" w:rsidRPr="003F4B95" w:rsidRDefault="00636B63" w:rsidP="001A36A0">
      <w:pPr>
        <w:pStyle w:val="Default"/>
        <w:spacing w:before="120" w:line="276" w:lineRule="auto"/>
        <w:jc w:val="both"/>
        <w:rPr>
          <w:rFonts w:asciiTheme="minorHAnsi" w:hAnsiTheme="minorHAnsi" w:cstheme="minorHAnsi"/>
          <w:b/>
          <w:color w:val="auto"/>
          <w:sz w:val="21"/>
          <w:szCs w:val="21"/>
        </w:rPr>
      </w:pPr>
      <w:r w:rsidRPr="003F4B95">
        <w:rPr>
          <w:rFonts w:asciiTheme="minorHAnsi" w:hAnsiTheme="minorHAnsi" w:cstheme="minorHAnsi"/>
          <w:b/>
          <w:color w:val="auto"/>
          <w:sz w:val="21"/>
          <w:szCs w:val="21"/>
        </w:rPr>
        <w:t>CONCLUSÃO</w:t>
      </w:r>
    </w:p>
    <w:p w14:paraId="2DEA6CB1" w14:textId="3BEA23A7" w:rsidR="001E1583" w:rsidRPr="003F4B95" w:rsidRDefault="001E1583" w:rsidP="001A36A0">
      <w:pPr>
        <w:pStyle w:val="Default"/>
        <w:spacing w:before="120" w:line="276" w:lineRule="auto"/>
        <w:ind w:firstLine="1134"/>
        <w:jc w:val="both"/>
        <w:rPr>
          <w:rFonts w:asciiTheme="minorHAnsi" w:hAnsiTheme="minorHAnsi" w:cstheme="minorHAnsi"/>
          <w:color w:val="auto"/>
          <w:sz w:val="21"/>
          <w:szCs w:val="21"/>
        </w:rPr>
      </w:pPr>
      <w:r w:rsidRPr="003F4B95">
        <w:rPr>
          <w:rFonts w:asciiTheme="minorHAnsi" w:hAnsiTheme="minorHAnsi" w:cstheme="minorHAnsi"/>
          <w:color w:val="auto"/>
          <w:sz w:val="21"/>
          <w:szCs w:val="21"/>
        </w:rPr>
        <w:t xml:space="preserve">Finalmente, salienta-se que a opinião jurídica exarada </w:t>
      </w:r>
      <w:proofErr w:type="spellStart"/>
      <w:r w:rsidRPr="003F4B95">
        <w:rPr>
          <w:rFonts w:asciiTheme="minorHAnsi" w:hAnsiTheme="minorHAnsi" w:cstheme="minorHAnsi"/>
          <w:color w:val="auto"/>
          <w:sz w:val="21"/>
          <w:szCs w:val="21"/>
        </w:rPr>
        <w:t>neste</w:t>
      </w:r>
      <w:proofErr w:type="spellEnd"/>
      <w:r w:rsidRPr="003F4B95">
        <w:rPr>
          <w:rFonts w:asciiTheme="minorHAnsi" w:hAnsiTheme="minorHAnsi" w:cstheme="minorHAnsi"/>
          <w:color w:val="auto"/>
          <w:sz w:val="21"/>
          <w:szCs w:val="21"/>
        </w:rPr>
        <w:t xml:space="preserve"> parecer não tem força vinculante, podendo seus fundamentos serem utilizados ou não pelos membros desta Casa, servindo apenas como norte para o voto dos Edis.</w:t>
      </w:r>
      <w:r w:rsidRPr="003F4B95">
        <w:rPr>
          <w:rFonts w:asciiTheme="minorHAnsi" w:hAnsiTheme="minorHAnsi" w:cstheme="minorHAnsi"/>
          <w:color w:val="auto"/>
          <w:sz w:val="21"/>
          <w:szCs w:val="21"/>
        </w:rPr>
        <w:tab/>
      </w:r>
    </w:p>
    <w:p w14:paraId="1D9A275D" w14:textId="206684ED" w:rsidR="00636B63" w:rsidRPr="003F4B95" w:rsidRDefault="00636B63" w:rsidP="001A36A0">
      <w:pPr>
        <w:pStyle w:val="Default"/>
        <w:spacing w:before="120" w:line="276" w:lineRule="auto"/>
        <w:ind w:firstLine="1134"/>
        <w:jc w:val="both"/>
        <w:rPr>
          <w:rFonts w:asciiTheme="minorHAnsi" w:hAnsiTheme="minorHAnsi" w:cstheme="minorHAnsi"/>
          <w:color w:val="auto"/>
          <w:sz w:val="21"/>
          <w:szCs w:val="21"/>
        </w:rPr>
      </w:pPr>
      <w:r w:rsidRPr="003F4B95">
        <w:rPr>
          <w:rFonts w:asciiTheme="minorHAnsi" w:hAnsiTheme="minorHAnsi" w:cstheme="minorHAnsi"/>
          <w:color w:val="auto"/>
          <w:sz w:val="21"/>
          <w:szCs w:val="21"/>
        </w:rPr>
        <w:tab/>
        <w:t>Diante de todo o exposto, do ponto de vista de constitucionalidade, legalidade, juridicidade e boa técnica legislativa, a Procuradoria Legislativa OPINA, salvo melhor juízo, pela viabilidade técnica da referida proposição.</w:t>
      </w:r>
    </w:p>
    <w:p w14:paraId="218DAC28" w14:textId="15D5D108" w:rsidR="00C46DBF" w:rsidRPr="003F4B95" w:rsidRDefault="001F316B" w:rsidP="001A36A0">
      <w:pPr>
        <w:pStyle w:val="Default"/>
        <w:spacing w:before="120" w:line="276" w:lineRule="auto"/>
        <w:ind w:firstLine="1134"/>
        <w:jc w:val="right"/>
        <w:rPr>
          <w:rFonts w:asciiTheme="minorHAnsi" w:hAnsiTheme="minorHAnsi" w:cstheme="minorHAnsi"/>
          <w:sz w:val="21"/>
          <w:szCs w:val="21"/>
        </w:rPr>
      </w:pPr>
      <w:r w:rsidRPr="003F4B95">
        <w:rPr>
          <w:rFonts w:asciiTheme="minorHAnsi" w:hAnsiTheme="minorHAnsi" w:cstheme="minorHAnsi"/>
          <w:color w:val="auto"/>
          <w:sz w:val="21"/>
          <w:szCs w:val="21"/>
        </w:rPr>
        <w:t xml:space="preserve"> </w:t>
      </w:r>
      <w:r w:rsidR="00C46DBF" w:rsidRPr="003F4B95">
        <w:rPr>
          <w:rFonts w:asciiTheme="minorHAnsi" w:hAnsiTheme="minorHAnsi" w:cstheme="minorHAnsi"/>
          <w:sz w:val="21"/>
          <w:szCs w:val="21"/>
        </w:rPr>
        <w:t>Carmo da Mata/MG</w:t>
      </w:r>
      <w:r w:rsidR="00F4543F" w:rsidRPr="003F4B95">
        <w:rPr>
          <w:rFonts w:asciiTheme="minorHAnsi" w:hAnsiTheme="minorHAnsi" w:cstheme="minorHAnsi"/>
          <w:sz w:val="21"/>
          <w:szCs w:val="21"/>
        </w:rPr>
        <w:t xml:space="preserve">, </w:t>
      </w:r>
      <w:r w:rsidR="003F4B95" w:rsidRPr="003F4B95">
        <w:rPr>
          <w:rFonts w:asciiTheme="minorHAnsi" w:hAnsiTheme="minorHAnsi" w:cstheme="minorHAnsi"/>
          <w:sz w:val="21"/>
          <w:szCs w:val="21"/>
        </w:rPr>
        <w:t>05 de junho</w:t>
      </w:r>
      <w:r w:rsidR="00F4543F" w:rsidRPr="003F4B95">
        <w:rPr>
          <w:rFonts w:asciiTheme="minorHAnsi" w:hAnsiTheme="minorHAnsi" w:cstheme="minorHAnsi"/>
          <w:sz w:val="21"/>
          <w:szCs w:val="21"/>
        </w:rPr>
        <w:t xml:space="preserve"> de 2025</w:t>
      </w:r>
      <w:r w:rsidR="00C46DBF" w:rsidRPr="003F4B95">
        <w:rPr>
          <w:rFonts w:asciiTheme="minorHAnsi" w:hAnsiTheme="minorHAnsi" w:cstheme="minorHAnsi"/>
          <w:sz w:val="21"/>
          <w:szCs w:val="21"/>
        </w:rPr>
        <w:t>.</w:t>
      </w:r>
    </w:p>
    <w:p w14:paraId="53123F2A" w14:textId="77777777" w:rsidR="00C46DBF" w:rsidRPr="003F4B95" w:rsidRDefault="00C46DBF" w:rsidP="001A36A0">
      <w:pPr>
        <w:pStyle w:val="Default"/>
        <w:spacing w:before="120" w:line="276" w:lineRule="auto"/>
        <w:jc w:val="both"/>
        <w:rPr>
          <w:rFonts w:asciiTheme="minorHAnsi" w:hAnsiTheme="minorHAnsi" w:cstheme="minorHAnsi"/>
          <w:color w:val="auto"/>
          <w:sz w:val="21"/>
          <w:szCs w:val="21"/>
        </w:rPr>
      </w:pPr>
    </w:p>
    <w:p w14:paraId="7E0E16C8" w14:textId="77777777" w:rsidR="00C46DBF" w:rsidRPr="003F4B95" w:rsidRDefault="00C46DBF" w:rsidP="001A36A0">
      <w:pPr>
        <w:pStyle w:val="Default"/>
        <w:spacing w:before="120" w:line="276" w:lineRule="auto"/>
        <w:ind w:firstLine="1134"/>
        <w:jc w:val="both"/>
        <w:rPr>
          <w:rFonts w:asciiTheme="minorHAnsi" w:hAnsiTheme="minorHAnsi" w:cstheme="minorHAnsi"/>
          <w:color w:val="auto"/>
          <w:sz w:val="21"/>
          <w:szCs w:val="21"/>
        </w:rPr>
      </w:pPr>
    </w:p>
    <w:p w14:paraId="7D8CDF67" w14:textId="77777777" w:rsidR="00C46DBF" w:rsidRPr="003F4B95" w:rsidRDefault="00C46DBF" w:rsidP="001A36A0">
      <w:pPr>
        <w:pStyle w:val="NormalWeb"/>
        <w:spacing w:before="120" w:line="276" w:lineRule="auto"/>
        <w:jc w:val="center"/>
        <w:rPr>
          <w:rFonts w:asciiTheme="minorHAnsi" w:hAnsiTheme="minorHAnsi" w:cstheme="minorHAnsi"/>
          <w:b/>
          <w:color w:val="000000"/>
          <w:sz w:val="21"/>
          <w:szCs w:val="21"/>
          <w:u w:val="single"/>
        </w:rPr>
      </w:pPr>
      <w:r w:rsidRPr="003F4B95">
        <w:rPr>
          <w:rFonts w:asciiTheme="minorHAnsi" w:hAnsiTheme="minorHAnsi" w:cstheme="minorHAnsi"/>
          <w:b/>
          <w:color w:val="000000"/>
          <w:sz w:val="21"/>
          <w:szCs w:val="21"/>
        </w:rPr>
        <w:t>_____________________________</w:t>
      </w:r>
    </w:p>
    <w:p w14:paraId="2063703A" w14:textId="77777777" w:rsidR="00C46DBF" w:rsidRPr="003F4B95" w:rsidRDefault="00C46DBF" w:rsidP="005236DA">
      <w:pPr>
        <w:pStyle w:val="NormalWeb"/>
        <w:spacing w:line="276" w:lineRule="auto"/>
        <w:jc w:val="center"/>
        <w:rPr>
          <w:rFonts w:asciiTheme="minorHAnsi" w:hAnsiTheme="minorHAnsi" w:cstheme="minorHAnsi"/>
          <w:b/>
          <w:color w:val="000000"/>
          <w:sz w:val="21"/>
          <w:szCs w:val="21"/>
        </w:rPr>
      </w:pPr>
      <w:r w:rsidRPr="003F4B95">
        <w:rPr>
          <w:rFonts w:asciiTheme="minorHAnsi" w:hAnsiTheme="minorHAnsi" w:cstheme="minorHAnsi"/>
          <w:b/>
          <w:color w:val="000000"/>
          <w:sz w:val="21"/>
          <w:szCs w:val="21"/>
        </w:rPr>
        <w:t xml:space="preserve">Ana Luíza Agra </w:t>
      </w:r>
      <w:proofErr w:type="spellStart"/>
      <w:r w:rsidRPr="003F4B95">
        <w:rPr>
          <w:rFonts w:asciiTheme="minorHAnsi" w:hAnsiTheme="minorHAnsi" w:cstheme="minorHAnsi"/>
          <w:b/>
          <w:color w:val="000000"/>
          <w:sz w:val="21"/>
          <w:szCs w:val="21"/>
        </w:rPr>
        <w:t>Zaponi</w:t>
      </w:r>
      <w:proofErr w:type="spellEnd"/>
    </w:p>
    <w:p w14:paraId="6FDBC8C5" w14:textId="77777777" w:rsidR="005236DA" w:rsidRPr="003F4B95" w:rsidRDefault="00C46DBF" w:rsidP="005236DA">
      <w:pPr>
        <w:pStyle w:val="NormalWeb"/>
        <w:spacing w:line="276" w:lineRule="auto"/>
        <w:jc w:val="center"/>
        <w:rPr>
          <w:rFonts w:asciiTheme="minorHAnsi" w:hAnsiTheme="minorHAnsi" w:cstheme="minorHAnsi"/>
          <w:b/>
          <w:color w:val="000000"/>
          <w:sz w:val="21"/>
          <w:szCs w:val="21"/>
        </w:rPr>
      </w:pPr>
      <w:r w:rsidRPr="003F4B95">
        <w:rPr>
          <w:rFonts w:asciiTheme="minorHAnsi" w:hAnsiTheme="minorHAnsi" w:cstheme="minorHAnsi"/>
          <w:b/>
          <w:color w:val="000000"/>
          <w:sz w:val="21"/>
          <w:szCs w:val="21"/>
        </w:rPr>
        <w:t>OAB/MG 222.104</w:t>
      </w:r>
      <w:bookmarkEnd w:id="0"/>
      <w:r w:rsidR="005236DA" w:rsidRPr="003F4B95">
        <w:rPr>
          <w:rFonts w:asciiTheme="minorHAnsi" w:hAnsiTheme="minorHAnsi" w:cstheme="minorHAnsi"/>
          <w:b/>
          <w:color w:val="000000"/>
          <w:sz w:val="21"/>
          <w:szCs w:val="21"/>
        </w:rPr>
        <w:t xml:space="preserve"> </w:t>
      </w:r>
    </w:p>
    <w:p w14:paraId="07B72B91" w14:textId="75AC58E9" w:rsidR="005236DA" w:rsidRPr="003F4B95" w:rsidRDefault="005236DA" w:rsidP="005236DA">
      <w:pPr>
        <w:pStyle w:val="NormalWeb"/>
        <w:spacing w:line="276" w:lineRule="auto"/>
        <w:jc w:val="center"/>
        <w:rPr>
          <w:rFonts w:asciiTheme="minorHAnsi" w:hAnsiTheme="minorHAnsi" w:cstheme="minorHAnsi"/>
          <w:b/>
          <w:color w:val="000000"/>
          <w:sz w:val="21"/>
          <w:szCs w:val="21"/>
        </w:rPr>
      </w:pPr>
      <w:r w:rsidRPr="003F4B95">
        <w:rPr>
          <w:rFonts w:asciiTheme="minorHAnsi" w:hAnsiTheme="minorHAnsi" w:cstheme="minorHAnsi"/>
          <w:b/>
          <w:color w:val="000000"/>
          <w:sz w:val="21"/>
          <w:szCs w:val="21"/>
        </w:rPr>
        <w:t xml:space="preserve">Advogada do Legislativo </w:t>
      </w:r>
    </w:p>
    <w:p w14:paraId="7053AF10" w14:textId="190F0297" w:rsidR="00554390" w:rsidRPr="003F4B95" w:rsidRDefault="00554390" w:rsidP="005236DA">
      <w:pPr>
        <w:pStyle w:val="NormalWeb"/>
        <w:spacing w:line="276" w:lineRule="auto"/>
        <w:jc w:val="center"/>
        <w:rPr>
          <w:rFonts w:asciiTheme="minorHAnsi" w:hAnsiTheme="minorHAnsi" w:cstheme="minorHAnsi"/>
          <w:sz w:val="21"/>
          <w:szCs w:val="21"/>
        </w:rPr>
      </w:pPr>
    </w:p>
    <w:sectPr w:rsidR="00554390" w:rsidRPr="003F4B95"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CA84" w14:textId="77777777" w:rsidR="00B7271A" w:rsidRDefault="00B7271A">
      <w:pPr>
        <w:spacing w:after="0" w:line="240" w:lineRule="auto"/>
      </w:pPr>
      <w:r>
        <w:separator/>
      </w:r>
    </w:p>
  </w:endnote>
  <w:endnote w:type="continuationSeparator" w:id="0">
    <w:p w14:paraId="78191B74" w14:textId="77777777" w:rsidR="00B7271A" w:rsidRDefault="00B7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pPr>
      <w:pStyle w:val="Rodap"/>
      <w:ind w:left="142"/>
      <w:jc w:val="center"/>
      <w:rPr>
        <w:rFonts w:asciiTheme="minorHAnsi" w:hAnsiTheme="minorHAnsi" w:cstheme="minorHAnsi"/>
        <w:sz w:val="18"/>
        <w:szCs w:val="18"/>
      </w:rPr>
    </w:pPr>
  </w:p>
  <w:p w14:paraId="0A812F5E" w14:textId="4900D156" w:rsidR="00F17F52"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46F2" w14:textId="77777777" w:rsidR="00B7271A" w:rsidRDefault="00B7271A">
      <w:pPr>
        <w:spacing w:after="0" w:line="240" w:lineRule="auto"/>
      </w:pPr>
      <w:r>
        <w:separator/>
      </w:r>
    </w:p>
  </w:footnote>
  <w:footnote w:type="continuationSeparator" w:id="0">
    <w:p w14:paraId="285A9F3E" w14:textId="77777777" w:rsidR="00B7271A" w:rsidRDefault="00B7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pPr>
      <w:pStyle w:val="Cabealho"/>
    </w:pPr>
  </w:p>
  <w:p w14:paraId="4680557F" w14:textId="77777777" w:rsidR="00F17F52" w:rsidRDefault="00F17F52">
    <w:pPr>
      <w:pStyle w:val="Cabealho"/>
    </w:pPr>
  </w:p>
  <w:p w14:paraId="4673AA15" w14:textId="77777777" w:rsidR="00B13EF6" w:rsidRDefault="00B13E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6864E2"/>
    <w:multiLevelType w:val="hybridMultilevel"/>
    <w:tmpl w:val="10FE653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 w:numId="5" w16cid:durableId="137114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37A51"/>
    <w:rsid w:val="00052FAA"/>
    <w:rsid w:val="00064553"/>
    <w:rsid w:val="00085638"/>
    <w:rsid w:val="000A123C"/>
    <w:rsid w:val="000A389B"/>
    <w:rsid w:val="000C6F57"/>
    <w:rsid w:val="000D1E10"/>
    <w:rsid w:val="000D6ECB"/>
    <w:rsid w:val="000D7BD2"/>
    <w:rsid w:val="00103581"/>
    <w:rsid w:val="0011555A"/>
    <w:rsid w:val="00150FD5"/>
    <w:rsid w:val="0016339A"/>
    <w:rsid w:val="00165A83"/>
    <w:rsid w:val="0019375F"/>
    <w:rsid w:val="001A36A0"/>
    <w:rsid w:val="001A6E99"/>
    <w:rsid w:val="001B45E3"/>
    <w:rsid w:val="001D11E7"/>
    <w:rsid w:val="001D5FD3"/>
    <w:rsid w:val="001E1583"/>
    <w:rsid w:val="001F316B"/>
    <w:rsid w:val="001F7468"/>
    <w:rsid w:val="0020652F"/>
    <w:rsid w:val="002210BA"/>
    <w:rsid w:val="0022621B"/>
    <w:rsid w:val="00246D57"/>
    <w:rsid w:val="0029679A"/>
    <w:rsid w:val="002A4669"/>
    <w:rsid w:val="002A75BB"/>
    <w:rsid w:val="002C607D"/>
    <w:rsid w:val="002C7E84"/>
    <w:rsid w:val="002D3D3B"/>
    <w:rsid w:val="003053CB"/>
    <w:rsid w:val="003306A9"/>
    <w:rsid w:val="003545DF"/>
    <w:rsid w:val="003577C6"/>
    <w:rsid w:val="00377775"/>
    <w:rsid w:val="00383C89"/>
    <w:rsid w:val="003932DD"/>
    <w:rsid w:val="00395040"/>
    <w:rsid w:val="003A1B01"/>
    <w:rsid w:val="003A29EB"/>
    <w:rsid w:val="003A40A9"/>
    <w:rsid w:val="003A4598"/>
    <w:rsid w:val="003A4A2B"/>
    <w:rsid w:val="003D40D8"/>
    <w:rsid w:val="003F25DB"/>
    <w:rsid w:val="003F2A6C"/>
    <w:rsid w:val="003F4B95"/>
    <w:rsid w:val="00447F0D"/>
    <w:rsid w:val="00471ADE"/>
    <w:rsid w:val="00491D3F"/>
    <w:rsid w:val="004B58A9"/>
    <w:rsid w:val="004B5CC6"/>
    <w:rsid w:val="004C4EC3"/>
    <w:rsid w:val="004F2EE7"/>
    <w:rsid w:val="005045E6"/>
    <w:rsid w:val="00513D70"/>
    <w:rsid w:val="00520277"/>
    <w:rsid w:val="005236DA"/>
    <w:rsid w:val="00523C42"/>
    <w:rsid w:val="00527C81"/>
    <w:rsid w:val="00533A89"/>
    <w:rsid w:val="00553C4F"/>
    <w:rsid w:val="00554390"/>
    <w:rsid w:val="005D76E9"/>
    <w:rsid w:val="005E2AC2"/>
    <w:rsid w:val="005E3BD7"/>
    <w:rsid w:val="005F6EF5"/>
    <w:rsid w:val="00624190"/>
    <w:rsid w:val="00636B63"/>
    <w:rsid w:val="00670DFF"/>
    <w:rsid w:val="00680309"/>
    <w:rsid w:val="0069531A"/>
    <w:rsid w:val="006B1A17"/>
    <w:rsid w:val="006B376D"/>
    <w:rsid w:val="006E3BE4"/>
    <w:rsid w:val="00712768"/>
    <w:rsid w:val="00722045"/>
    <w:rsid w:val="00765C9F"/>
    <w:rsid w:val="007B770E"/>
    <w:rsid w:val="007E0FCA"/>
    <w:rsid w:val="00835D7A"/>
    <w:rsid w:val="00842791"/>
    <w:rsid w:val="00880DF9"/>
    <w:rsid w:val="00885851"/>
    <w:rsid w:val="008C30BC"/>
    <w:rsid w:val="008E040F"/>
    <w:rsid w:val="008E20A4"/>
    <w:rsid w:val="008E4C12"/>
    <w:rsid w:val="008F6E78"/>
    <w:rsid w:val="00920F17"/>
    <w:rsid w:val="00940132"/>
    <w:rsid w:val="00940676"/>
    <w:rsid w:val="00943496"/>
    <w:rsid w:val="00944B60"/>
    <w:rsid w:val="00962B89"/>
    <w:rsid w:val="00991967"/>
    <w:rsid w:val="009D7F55"/>
    <w:rsid w:val="00A0421E"/>
    <w:rsid w:val="00A10395"/>
    <w:rsid w:val="00A15093"/>
    <w:rsid w:val="00A16ED1"/>
    <w:rsid w:val="00A40736"/>
    <w:rsid w:val="00A40871"/>
    <w:rsid w:val="00A641CF"/>
    <w:rsid w:val="00A9445D"/>
    <w:rsid w:val="00AA6F85"/>
    <w:rsid w:val="00AA76C7"/>
    <w:rsid w:val="00AC49D1"/>
    <w:rsid w:val="00AC680F"/>
    <w:rsid w:val="00B13EF6"/>
    <w:rsid w:val="00B2754A"/>
    <w:rsid w:val="00B35B55"/>
    <w:rsid w:val="00B63444"/>
    <w:rsid w:val="00B722C0"/>
    <w:rsid w:val="00B7271A"/>
    <w:rsid w:val="00B74C42"/>
    <w:rsid w:val="00B81E4D"/>
    <w:rsid w:val="00B8405D"/>
    <w:rsid w:val="00BA6D55"/>
    <w:rsid w:val="00BD5812"/>
    <w:rsid w:val="00BD7E03"/>
    <w:rsid w:val="00BF5ABB"/>
    <w:rsid w:val="00C02DDA"/>
    <w:rsid w:val="00C46DBF"/>
    <w:rsid w:val="00C5139C"/>
    <w:rsid w:val="00C73FA9"/>
    <w:rsid w:val="00C776E5"/>
    <w:rsid w:val="00C83C8E"/>
    <w:rsid w:val="00CC4212"/>
    <w:rsid w:val="00CE3813"/>
    <w:rsid w:val="00D021DD"/>
    <w:rsid w:val="00D4022E"/>
    <w:rsid w:val="00D6177A"/>
    <w:rsid w:val="00D93250"/>
    <w:rsid w:val="00E65A85"/>
    <w:rsid w:val="00E92369"/>
    <w:rsid w:val="00E95412"/>
    <w:rsid w:val="00ED16F5"/>
    <w:rsid w:val="00EE216A"/>
    <w:rsid w:val="00EE25DF"/>
    <w:rsid w:val="00F17A9D"/>
    <w:rsid w:val="00F17F52"/>
    <w:rsid w:val="00F311CC"/>
    <w:rsid w:val="00F35AE2"/>
    <w:rsid w:val="00F4543F"/>
    <w:rsid w:val="00F54B3A"/>
    <w:rsid w:val="00F61458"/>
    <w:rsid w:val="00F724C7"/>
    <w:rsid w:val="00F75B87"/>
    <w:rsid w:val="00F93A1F"/>
    <w:rsid w:val="00F96272"/>
    <w:rsid w:val="00FB3BA0"/>
    <w:rsid w:val="00FC2E7D"/>
    <w:rsid w:val="00FC5F47"/>
    <w:rsid w:val="00FD28E4"/>
    <w:rsid w:val="00FE37F9"/>
    <w:rsid w:val="00FF0553"/>
    <w:rsid w:val="00FF0843"/>
    <w:rsid w:val="00FF4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0833AA7C-24CD-410C-B094-B758A67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673">
      <w:bodyDiv w:val="1"/>
      <w:marLeft w:val="0"/>
      <w:marRight w:val="0"/>
      <w:marTop w:val="0"/>
      <w:marBottom w:val="0"/>
      <w:divBdr>
        <w:top w:val="none" w:sz="0" w:space="0" w:color="auto"/>
        <w:left w:val="none" w:sz="0" w:space="0" w:color="auto"/>
        <w:bottom w:val="none" w:sz="0" w:space="0" w:color="auto"/>
        <w:right w:val="none" w:sz="0" w:space="0" w:color="auto"/>
      </w:divBdr>
    </w:div>
    <w:div w:id="794102704">
      <w:bodyDiv w:val="1"/>
      <w:marLeft w:val="0"/>
      <w:marRight w:val="0"/>
      <w:marTop w:val="0"/>
      <w:marBottom w:val="0"/>
      <w:divBdr>
        <w:top w:val="none" w:sz="0" w:space="0" w:color="auto"/>
        <w:left w:val="none" w:sz="0" w:space="0" w:color="auto"/>
        <w:bottom w:val="none" w:sz="0" w:space="0" w:color="auto"/>
        <w:right w:val="none" w:sz="0" w:space="0" w:color="auto"/>
      </w:divBdr>
    </w:div>
    <w:div w:id="828012685">
      <w:bodyDiv w:val="1"/>
      <w:marLeft w:val="0"/>
      <w:marRight w:val="0"/>
      <w:marTop w:val="0"/>
      <w:marBottom w:val="0"/>
      <w:divBdr>
        <w:top w:val="none" w:sz="0" w:space="0" w:color="auto"/>
        <w:left w:val="none" w:sz="0" w:space="0" w:color="auto"/>
        <w:bottom w:val="none" w:sz="0" w:space="0" w:color="auto"/>
        <w:right w:val="none" w:sz="0" w:space="0" w:color="auto"/>
      </w:divBdr>
    </w:div>
    <w:div w:id="1404522655">
      <w:bodyDiv w:val="1"/>
      <w:marLeft w:val="0"/>
      <w:marRight w:val="0"/>
      <w:marTop w:val="0"/>
      <w:marBottom w:val="0"/>
      <w:divBdr>
        <w:top w:val="none" w:sz="0" w:space="0" w:color="auto"/>
        <w:left w:val="none" w:sz="0" w:space="0" w:color="auto"/>
        <w:bottom w:val="none" w:sz="0" w:space="0" w:color="auto"/>
        <w:right w:val="none" w:sz="0" w:space="0" w:color="auto"/>
      </w:divBdr>
    </w:div>
    <w:div w:id="1503744017">
      <w:bodyDiv w:val="1"/>
      <w:marLeft w:val="0"/>
      <w:marRight w:val="0"/>
      <w:marTop w:val="0"/>
      <w:marBottom w:val="0"/>
      <w:divBdr>
        <w:top w:val="none" w:sz="0" w:space="0" w:color="auto"/>
        <w:left w:val="none" w:sz="0" w:space="0" w:color="auto"/>
        <w:bottom w:val="none" w:sz="0" w:space="0" w:color="auto"/>
        <w:right w:val="none" w:sz="0" w:space="0" w:color="auto"/>
      </w:divBdr>
    </w:div>
    <w:div w:id="16900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939</Words>
  <Characters>5074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2</cp:revision>
  <dcterms:created xsi:type="dcterms:W3CDTF">2025-06-05T19:50:00Z</dcterms:created>
  <dcterms:modified xsi:type="dcterms:W3CDTF">2025-06-05T19:50:00Z</dcterms:modified>
</cp:coreProperties>
</file>