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72180F54" w:rsidR="00C46DBF" w:rsidRPr="00051D74" w:rsidRDefault="00C46DBF" w:rsidP="00D93250">
      <w:pPr>
        <w:spacing w:after="0" w:line="276" w:lineRule="auto"/>
        <w:jc w:val="center"/>
        <w:rPr>
          <w:b/>
          <w:u w:val="single"/>
        </w:rPr>
      </w:pPr>
      <w:bookmarkStart w:id="0" w:name="_Hlk143527044"/>
      <w:r w:rsidRPr="00051D74">
        <w:rPr>
          <w:b/>
          <w:u w:val="single"/>
        </w:rPr>
        <w:t xml:space="preserve">Parecer Jurídico nº </w:t>
      </w:r>
      <w:r w:rsidR="00977DFB">
        <w:rPr>
          <w:b/>
          <w:u w:val="single"/>
        </w:rPr>
        <w:t>15</w:t>
      </w:r>
      <w:r w:rsidRPr="00051D74">
        <w:rPr>
          <w:b/>
          <w:u w:val="single"/>
        </w:rPr>
        <w:t>/</w:t>
      </w:r>
      <w:r w:rsidR="00EC242A" w:rsidRPr="00051D74">
        <w:rPr>
          <w:b/>
          <w:u w:val="single"/>
        </w:rPr>
        <w:t>2025</w:t>
      </w:r>
      <w:r w:rsidRPr="00051D74">
        <w:rPr>
          <w:b/>
          <w:u w:val="single"/>
        </w:rPr>
        <w:t xml:space="preserve"> – CMCDM</w:t>
      </w:r>
    </w:p>
    <w:p w14:paraId="41B93C46" w14:textId="77777777" w:rsidR="00C46DBF" w:rsidRPr="00051D74" w:rsidRDefault="00C46DBF" w:rsidP="00D93250">
      <w:pPr>
        <w:spacing w:after="0" w:line="276" w:lineRule="auto"/>
        <w:ind w:firstLine="851"/>
        <w:jc w:val="center"/>
        <w:rPr>
          <w:b/>
          <w:u w:val="single"/>
        </w:rPr>
      </w:pPr>
    </w:p>
    <w:p w14:paraId="30D72C16" w14:textId="6EF773B6" w:rsidR="00C02DDA" w:rsidRPr="00051D74" w:rsidRDefault="00C02DDA" w:rsidP="00C02DDA">
      <w:pPr>
        <w:spacing w:after="0" w:line="276" w:lineRule="auto"/>
        <w:ind w:left="4536"/>
        <w:jc w:val="both"/>
        <w:rPr>
          <w:b/>
        </w:rPr>
      </w:pPr>
      <w:r w:rsidRPr="00051D74">
        <w:rPr>
          <w:b/>
        </w:rPr>
        <w:t>EMENTA: ANÁLISE DE CONSTITUCIONALIDADE, LEGALIDADE E JURIDICIDADE DE PROPOSIÇÃO LEGISLATIVA. OPINA PELO PROSSEGUIMENTO.</w:t>
      </w:r>
    </w:p>
    <w:p w14:paraId="7A4A24D7" w14:textId="648171A5" w:rsidR="00C46DBF" w:rsidRPr="00051D74" w:rsidRDefault="00C02DDA" w:rsidP="00D93250">
      <w:pPr>
        <w:spacing w:after="0" w:line="276" w:lineRule="auto"/>
        <w:jc w:val="both"/>
        <w:rPr>
          <w:b/>
        </w:rPr>
      </w:pPr>
      <w:r w:rsidRPr="00051D74">
        <w:rPr>
          <w:b/>
        </w:rPr>
        <w:t>Projeto nº</w:t>
      </w:r>
      <w:r w:rsidR="00C46DBF" w:rsidRPr="00051D74">
        <w:rPr>
          <w:b/>
        </w:rPr>
        <w:t xml:space="preserve">: </w:t>
      </w:r>
      <w:r w:rsidR="00CE3813" w:rsidRPr="00051D74">
        <w:rPr>
          <w:b/>
        </w:rPr>
        <w:t xml:space="preserve"> </w:t>
      </w:r>
      <w:r w:rsidR="00EC242A" w:rsidRPr="00051D74">
        <w:rPr>
          <w:b/>
        </w:rPr>
        <w:t>1.8</w:t>
      </w:r>
      <w:r w:rsidR="00DA6E21">
        <w:rPr>
          <w:b/>
        </w:rPr>
        <w:t>9</w:t>
      </w:r>
      <w:r w:rsidR="00977DFB">
        <w:rPr>
          <w:b/>
        </w:rPr>
        <w:t>2</w:t>
      </w:r>
      <w:r w:rsidR="00EC242A" w:rsidRPr="00051D74">
        <w:rPr>
          <w:b/>
        </w:rPr>
        <w:t>/2025</w:t>
      </w:r>
    </w:p>
    <w:p w14:paraId="09743D07" w14:textId="004EFD09" w:rsidR="00C46DBF" w:rsidRPr="00051D74" w:rsidRDefault="00C46DBF" w:rsidP="00D93250">
      <w:pPr>
        <w:spacing w:after="0" w:line="276" w:lineRule="auto"/>
        <w:jc w:val="both"/>
        <w:rPr>
          <w:b/>
        </w:rPr>
      </w:pPr>
      <w:r w:rsidRPr="00051D74">
        <w:rPr>
          <w:b/>
        </w:rPr>
        <w:t xml:space="preserve">Autoria: </w:t>
      </w:r>
      <w:r w:rsidR="00CE3813" w:rsidRPr="00051D74">
        <w:rPr>
          <w:b/>
        </w:rPr>
        <w:t xml:space="preserve"> </w:t>
      </w:r>
      <w:r w:rsidR="00977DFB">
        <w:rPr>
          <w:b/>
        </w:rPr>
        <w:t xml:space="preserve">Vereador </w:t>
      </w:r>
      <w:r w:rsidR="00977DFB" w:rsidRPr="00977DFB">
        <w:rPr>
          <w:b/>
        </w:rPr>
        <w:t>Willian dos Campos</w:t>
      </w:r>
    </w:p>
    <w:p w14:paraId="593E15F3" w14:textId="77CD35B3" w:rsidR="00977DFB" w:rsidRDefault="00C46DBF" w:rsidP="00D93250">
      <w:pPr>
        <w:spacing w:after="0" w:line="276" w:lineRule="auto"/>
        <w:jc w:val="both"/>
        <w:rPr>
          <w:b/>
        </w:rPr>
      </w:pPr>
      <w:r w:rsidRPr="00051D74">
        <w:rPr>
          <w:b/>
        </w:rPr>
        <w:t xml:space="preserve">Ementa: </w:t>
      </w:r>
      <w:r w:rsidR="00CE3813" w:rsidRPr="00051D74">
        <w:rPr>
          <w:b/>
        </w:rPr>
        <w:t xml:space="preserve"> </w:t>
      </w:r>
      <w:r w:rsidR="00612925" w:rsidRPr="00612925">
        <w:rPr>
          <w:b/>
        </w:rPr>
        <w:t>Regulamenta os serviços de transporte para tratamento fora do domicílio – TFD e de transporte sanitário eletivo – TSE de usuários do Sistema Único de Saúde – SUS no âmbito do Município de Carmo da Mata.</w:t>
      </w:r>
    </w:p>
    <w:p w14:paraId="7C55B63B" w14:textId="77777777" w:rsidR="00612925" w:rsidRPr="00051D74" w:rsidRDefault="00612925" w:rsidP="00D93250">
      <w:pPr>
        <w:spacing w:after="0" w:line="276" w:lineRule="auto"/>
        <w:jc w:val="both"/>
        <w:rPr>
          <w:b/>
        </w:rPr>
      </w:pPr>
    </w:p>
    <w:p w14:paraId="777B151E" w14:textId="77777777" w:rsidR="00C46DBF" w:rsidRPr="00051D74" w:rsidRDefault="00C46DBF" w:rsidP="00D93250">
      <w:pPr>
        <w:spacing w:after="0" w:line="276" w:lineRule="auto"/>
        <w:rPr>
          <w:lang w:eastAsia="en-US"/>
        </w:rPr>
      </w:pPr>
      <w:r w:rsidRPr="00051D74">
        <w:rPr>
          <w:b/>
          <w:lang w:eastAsia="en-US"/>
        </w:rPr>
        <w:t>I – DO ÂMBITO DE ATRIBUIÇÃO DO ASSESSORAMENTO JURÍDICO</w:t>
      </w:r>
    </w:p>
    <w:p w14:paraId="47E62499" w14:textId="135645A8" w:rsidR="00C46DBF" w:rsidRPr="00051D74" w:rsidRDefault="00C46DBF" w:rsidP="00D93250">
      <w:pPr>
        <w:spacing w:after="0" w:line="276" w:lineRule="auto"/>
        <w:ind w:firstLine="851"/>
        <w:jc w:val="both"/>
        <w:rPr>
          <w:lang w:eastAsia="en-US"/>
        </w:rPr>
      </w:pPr>
      <w:r w:rsidRPr="00051D74">
        <w:rPr>
          <w:lang w:eastAsia="en-US"/>
        </w:rPr>
        <w:t xml:space="preserve">Preliminarmente à análise da minuta, esta Procuradoria </w:t>
      </w:r>
      <w:r w:rsidR="00CE3813" w:rsidRPr="00051D74">
        <w:rPr>
          <w:lang w:eastAsia="en-US"/>
        </w:rPr>
        <w:t>Legislativa</w:t>
      </w:r>
      <w:r w:rsidRPr="00051D74">
        <w:rPr>
          <w:lang w:eastAsia="en-US"/>
        </w:rPr>
        <w:t xml:space="preserve"> esclarece que a presente manifestação dar-se-á sob o ponto de vista estritamente jurídico, desbordando do objetivo do presente Parecer a análise do mérito </w:t>
      </w:r>
      <w:r w:rsidR="00CE3813" w:rsidRPr="00051D74">
        <w:rPr>
          <w:lang w:eastAsia="en-US"/>
        </w:rPr>
        <w:t>legislativo e/ou administrativo</w:t>
      </w:r>
      <w:r w:rsidRPr="00051D74">
        <w:rPr>
          <w:lang w:eastAsia="en-US"/>
        </w:rPr>
        <w:t xml:space="preserve">, notadamente quanto ao juízo </w:t>
      </w:r>
      <w:r w:rsidR="00CE3813" w:rsidRPr="00051D74">
        <w:rPr>
          <w:lang w:eastAsia="en-US"/>
        </w:rPr>
        <w:t>dos parlamentares a respeito de seus respectivos votos e ao juízo do gestor</w:t>
      </w:r>
      <w:r w:rsidRPr="00051D74">
        <w:rPr>
          <w:lang w:eastAsia="en-US"/>
        </w:rPr>
        <w:t xml:space="preserve"> a respeito da oportunidade e conveniência da prática de atos à luz do interesse público. </w:t>
      </w:r>
    </w:p>
    <w:p w14:paraId="6316CF6E" w14:textId="378CFE2D" w:rsidR="00C46DBF" w:rsidRPr="00051D74" w:rsidRDefault="00C46DBF" w:rsidP="00D93250">
      <w:pPr>
        <w:spacing w:after="0" w:line="276" w:lineRule="auto"/>
        <w:ind w:firstLine="851"/>
        <w:jc w:val="both"/>
      </w:pPr>
      <w:r w:rsidRPr="00051D74">
        <w:t>A definição do escopo da análise pel</w:t>
      </w:r>
      <w:r w:rsidR="00CE3813" w:rsidRPr="00051D74">
        <w:t xml:space="preserve">a Advocacia Legislativa </w:t>
      </w:r>
      <w:r w:rsidRPr="00051D74">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051D74" w:rsidRDefault="00C46DBF" w:rsidP="00D93250">
      <w:pPr>
        <w:numPr>
          <w:ilvl w:val="0"/>
          <w:numId w:val="1"/>
        </w:numPr>
        <w:spacing w:after="0" w:line="276" w:lineRule="auto"/>
        <w:ind w:left="2268"/>
        <w:jc w:val="both"/>
        <w:rPr>
          <w:i/>
        </w:rPr>
      </w:pPr>
      <w:r w:rsidRPr="00051D74">
        <w:rPr>
          <w:i/>
        </w:rPr>
        <w:t>Manifestar ou opinar por meio de pareceres escritos sobre a interpretação de textos legais e projetos de leis e demais atos normativos;</w:t>
      </w:r>
    </w:p>
    <w:p w14:paraId="6857622A" w14:textId="77777777" w:rsidR="00C46DBF" w:rsidRPr="00051D74" w:rsidRDefault="00C46DBF" w:rsidP="00D93250">
      <w:pPr>
        <w:numPr>
          <w:ilvl w:val="0"/>
          <w:numId w:val="1"/>
        </w:numPr>
        <w:spacing w:after="0" w:line="276" w:lineRule="auto"/>
        <w:ind w:left="2268"/>
        <w:jc w:val="both"/>
        <w:rPr>
          <w:i/>
        </w:rPr>
      </w:pPr>
      <w:r w:rsidRPr="00051D74">
        <w:rPr>
          <w:i/>
        </w:rPr>
        <w:t>Emitir pareceres sobre questões jurídicas e legais e manifestar-se sobre a constitucionalidade de todos os projetos de leis apresentados via parecer;</w:t>
      </w:r>
    </w:p>
    <w:p w14:paraId="0F43DCE6" w14:textId="77777777" w:rsidR="00CE3813" w:rsidRPr="00051D74" w:rsidRDefault="00CE3813" w:rsidP="00D93250">
      <w:pPr>
        <w:spacing w:after="0" w:line="276" w:lineRule="auto"/>
        <w:ind w:firstLine="851"/>
        <w:jc w:val="both"/>
        <w:rPr>
          <w:lang w:eastAsia="en-US"/>
        </w:rPr>
      </w:pPr>
    </w:p>
    <w:p w14:paraId="206D00DA" w14:textId="36FFD2B9" w:rsidR="00C46DBF" w:rsidRPr="00051D74" w:rsidRDefault="00C46DBF" w:rsidP="00D93250">
      <w:pPr>
        <w:spacing w:after="0" w:line="276" w:lineRule="auto"/>
        <w:ind w:firstLine="851"/>
        <w:jc w:val="both"/>
        <w:rPr>
          <w:lang w:eastAsia="en-US"/>
        </w:rPr>
      </w:pPr>
      <w:r w:rsidRPr="00051D74">
        <w:rPr>
          <w:lang w:eastAsia="en-US"/>
        </w:rPr>
        <w:t xml:space="preserve">Por fim, esclarece-se que a presente manifestação se limitará aos aspectos jurídicos, vez </w:t>
      </w:r>
      <w:r w:rsidRPr="00051D74">
        <w:rPr>
          <w:b/>
          <w:u w:val="single"/>
          <w:lang w:eastAsia="en-US"/>
        </w:rPr>
        <w:t>que não se encontra no âmbito de atribuição desta Procuradoria Legislativa avaliar questões técnicas e operacionais</w:t>
      </w:r>
      <w:r w:rsidRPr="00051D74">
        <w:rPr>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051D74" w:rsidRDefault="00C46DBF" w:rsidP="00D93250">
      <w:pPr>
        <w:pStyle w:val="Default"/>
        <w:spacing w:line="276" w:lineRule="auto"/>
        <w:jc w:val="both"/>
        <w:rPr>
          <w:b/>
          <w:bCs/>
          <w:color w:val="auto"/>
          <w:sz w:val="22"/>
          <w:szCs w:val="22"/>
        </w:rPr>
      </w:pPr>
    </w:p>
    <w:p w14:paraId="40A8B437" w14:textId="22E9F054" w:rsidR="00395040" w:rsidRPr="00051D74" w:rsidRDefault="00BD7E03" w:rsidP="00D93250">
      <w:pPr>
        <w:pStyle w:val="Default"/>
        <w:spacing w:line="276" w:lineRule="auto"/>
        <w:jc w:val="both"/>
        <w:rPr>
          <w:b/>
          <w:bCs/>
          <w:color w:val="auto"/>
          <w:sz w:val="22"/>
          <w:szCs w:val="22"/>
        </w:rPr>
      </w:pPr>
      <w:r w:rsidRPr="00051D74">
        <w:rPr>
          <w:b/>
          <w:bCs/>
          <w:color w:val="auto"/>
          <w:sz w:val="22"/>
          <w:szCs w:val="22"/>
        </w:rPr>
        <w:t>II –</w:t>
      </w:r>
      <w:r w:rsidR="00CE3813" w:rsidRPr="00051D74">
        <w:rPr>
          <w:b/>
          <w:bCs/>
          <w:color w:val="auto"/>
          <w:sz w:val="22"/>
          <w:szCs w:val="22"/>
        </w:rPr>
        <w:t xml:space="preserve"> </w:t>
      </w:r>
      <w:r w:rsidR="00395040" w:rsidRPr="00051D74">
        <w:rPr>
          <w:b/>
          <w:bCs/>
          <w:color w:val="auto"/>
          <w:sz w:val="22"/>
          <w:szCs w:val="22"/>
        </w:rPr>
        <w:t>DO RELATÓRIO</w:t>
      </w:r>
    </w:p>
    <w:p w14:paraId="550FA0E4" w14:textId="77777777" w:rsidR="00612925" w:rsidRDefault="00395040" w:rsidP="00612925">
      <w:pPr>
        <w:ind w:firstLine="708"/>
        <w:jc w:val="both"/>
        <w:rPr>
          <w:rFonts w:eastAsia="Times New Roman"/>
        </w:rPr>
      </w:pPr>
      <w:r w:rsidRPr="00051D74">
        <w:t xml:space="preserve">Trata-se de análise e manifestação </w:t>
      </w:r>
      <w:r w:rsidR="00037A51" w:rsidRPr="00051D74">
        <w:t xml:space="preserve">acerca da legalidade, constitucionalidade e juridicidade </w:t>
      </w:r>
      <w:r w:rsidRPr="00051D74">
        <w:t xml:space="preserve">do projeto de </w:t>
      </w:r>
      <w:r w:rsidR="00EC242A" w:rsidRPr="00051D74">
        <w:t>lei</w:t>
      </w:r>
      <w:r w:rsidRPr="00051D74">
        <w:t xml:space="preserve"> em epígrafe que, em síntese, </w:t>
      </w:r>
      <w:r w:rsidR="00977DFB" w:rsidRPr="00977DFB">
        <w:rPr>
          <w:rFonts w:eastAsia="Times New Roman"/>
        </w:rPr>
        <w:t xml:space="preserve">visa </w:t>
      </w:r>
      <w:r w:rsidR="00612925" w:rsidRPr="00612925">
        <w:rPr>
          <w:rFonts w:eastAsia="Times New Roman"/>
        </w:rPr>
        <w:t xml:space="preserve">regulamentar os serviços de transporte para tratamento fora do domicílio (TFD) e o transporte sanitário eletivo (TSE) aos usuários do SUS, no âmbito do Município de Carmo da Mata. </w:t>
      </w:r>
    </w:p>
    <w:p w14:paraId="1C75D7CA" w14:textId="1C3C6C33" w:rsidR="00612925" w:rsidRDefault="00612925" w:rsidP="00612925">
      <w:pPr>
        <w:ind w:firstLine="708"/>
        <w:jc w:val="both"/>
        <w:rPr>
          <w:rFonts w:eastAsia="Times New Roman"/>
        </w:rPr>
      </w:pPr>
      <w:r w:rsidRPr="00612925">
        <w:rPr>
          <w:rFonts w:eastAsia="Times New Roman"/>
        </w:rPr>
        <w:lastRenderedPageBreak/>
        <w:t>Tal norma visa estabelecer os critérios, procedimentos e condições para que os pacientes possam se deslocar, de forma programada, para realizar tratamentos que não possam ser adequadamente prestados localmente, bem como para a realização de procedimentos eletivos, sempre com observância dos princípios do acesso universal e da integralidade do atendimento à saúde.</w:t>
      </w:r>
    </w:p>
    <w:p w14:paraId="4917A188" w14:textId="41697AC1" w:rsidR="00612925" w:rsidRDefault="00612925" w:rsidP="00612925">
      <w:pPr>
        <w:ind w:firstLine="708"/>
        <w:jc w:val="both"/>
        <w:rPr>
          <w:rFonts w:eastAsia="Times New Roman"/>
        </w:rPr>
      </w:pPr>
      <w:r>
        <w:rPr>
          <w:rFonts w:eastAsia="Times New Roman"/>
        </w:rPr>
        <w:t xml:space="preserve">Para a presente análise, </w:t>
      </w:r>
      <w:r w:rsidR="008B129F">
        <w:rPr>
          <w:rFonts w:eastAsia="Times New Roman"/>
        </w:rPr>
        <w:t xml:space="preserve">além dos diplomas de praxe, </w:t>
      </w:r>
      <w:r>
        <w:rPr>
          <w:rFonts w:eastAsia="Times New Roman"/>
        </w:rPr>
        <w:t>foram estudados os seguintes documentos:</w:t>
      </w:r>
    </w:p>
    <w:p w14:paraId="13DF273B" w14:textId="4D8D7821" w:rsidR="00612925" w:rsidRDefault="00612925" w:rsidP="00612925">
      <w:pPr>
        <w:pStyle w:val="PargrafodaLista"/>
        <w:numPr>
          <w:ilvl w:val="0"/>
          <w:numId w:val="5"/>
        </w:numPr>
        <w:jc w:val="both"/>
        <w:rPr>
          <w:rFonts w:eastAsia="Times New Roman"/>
        </w:rPr>
      </w:pPr>
      <w:r w:rsidRPr="00D06AF1">
        <w:rPr>
          <w:rFonts w:eastAsia="Times New Roman"/>
          <w:b/>
          <w:bCs/>
        </w:rPr>
        <w:t>Portaria nº 55, de 24 de fevereiro de 1999, do Ministério da Saúde</w:t>
      </w:r>
      <w:r>
        <w:rPr>
          <w:rFonts w:eastAsia="Times New Roman"/>
        </w:rPr>
        <w:t>, que d</w:t>
      </w:r>
      <w:r w:rsidRPr="00612925">
        <w:rPr>
          <w:rFonts w:eastAsia="Times New Roman"/>
        </w:rPr>
        <w:t>ispõe sobre a rotina do Tratamento Fora de Domicilio</w:t>
      </w:r>
      <w:r>
        <w:rPr>
          <w:rFonts w:eastAsia="Times New Roman"/>
        </w:rPr>
        <w:t xml:space="preserve"> </w:t>
      </w:r>
      <w:r w:rsidRPr="00612925">
        <w:rPr>
          <w:rFonts w:eastAsia="Times New Roman"/>
        </w:rPr>
        <w:t>no</w:t>
      </w:r>
      <w:r>
        <w:rPr>
          <w:rFonts w:eastAsia="Times New Roman"/>
        </w:rPr>
        <w:t xml:space="preserve"> </w:t>
      </w:r>
      <w:r w:rsidRPr="00612925">
        <w:rPr>
          <w:rFonts w:eastAsia="Times New Roman"/>
        </w:rPr>
        <w:t>Sistema Único de Saúde - SUS, com inclusão dos</w:t>
      </w:r>
      <w:r>
        <w:rPr>
          <w:rFonts w:eastAsia="Times New Roman"/>
        </w:rPr>
        <w:t xml:space="preserve"> </w:t>
      </w:r>
      <w:r w:rsidRPr="00612925">
        <w:rPr>
          <w:rFonts w:eastAsia="Times New Roman"/>
        </w:rPr>
        <w:t>procedimentos específicos na tabela de procedimentos</w:t>
      </w:r>
      <w:r>
        <w:rPr>
          <w:rFonts w:eastAsia="Times New Roman"/>
        </w:rPr>
        <w:t xml:space="preserve"> </w:t>
      </w:r>
      <w:r w:rsidRPr="00612925">
        <w:rPr>
          <w:rFonts w:eastAsia="Times New Roman"/>
        </w:rPr>
        <w:t>do Sistema de Informações Ambulatoriais do SIA/SUS e</w:t>
      </w:r>
      <w:r>
        <w:rPr>
          <w:rFonts w:eastAsia="Times New Roman"/>
        </w:rPr>
        <w:t xml:space="preserve"> </w:t>
      </w:r>
      <w:r w:rsidRPr="00612925">
        <w:rPr>
          <w:rFonts w:eastAsia="Times New Roman"/>
        </w:rPr>
        <w:t>dá outras providências</w:t>
      </w:r>
      <w:r>
        <w:rPr>
          <w:rFonts w:eastAsia="Times New Roman"/>
        </w:rPr>
        <w:t>;</w:t>
      </w:r>
    </w:p>
    <w:p w14:paraId="4468888D" w14:textId="664DB108" w:rsidR="00612925" w:rsidRDefault="008B129F" w:rsidP="00612925">
      <w:pPr>
        <w:pStyle w:val="PargrafodaLista"/>
        <w:numPr>
          <w:ilvl w:val="0"/>
          <w:numId w:val="5"/>
        </w:numPr>
        <w:jc w:val="both"/>
        <w:rPr>
          <w:rFonts w:eastAsia="Times New Roman"/>
        </w:rPr>
      </w:pPr>
      <w:r w:rsidRPr="00D06AF1">
        <w:rPr>
          <w:rFonts w:eastAsia="Times New Roman"/>
          <w:b/>
          <w:bCs/>
        </w:rPr>
        <w:t xml:space="preserve">Portaria nº 4.279, de 30 de dezembro </w:t>
      </w:r>
      <w:r w:rsidRPr="00D06AF1">
        <w:rPr>
          <w:rFonts w:eastAsia="Times New Roman"/>
        </w:rPr>
        <w:t>de 2010, do Ministério da Saúde</w:t>
      </w:r>
      <w:r>
        <w:rPr>
          <w:rFonts w:eastAsia="Times New Roman"/>
        </w:rPr>
        <w:t xml:space="preserve">, que </w:t>
      </w:r>
      <w:r w:rsidR="00D06AF1">
        <w:rPr>
          <w:rFonts w:eastAsia="Times New Roman"/>
        </w:rPr>
        <w:t>e</w:t>
      </w:r>
      <w:r w:rsidRPr="008B129F">
        <w:rPr>
          <w:rFonts w:eastAsia="Times New Roman"/>
        </w:rPr>
        <w:t>stabelece diretrizes para a organização da Rede de</w:t>
      </w:r>
      <w:r>
        <w:rPr>
          <w:rFonts w:eastAsia="Times New Roman"/>
        </w:rPr>
        <w:t xml:space="preserve"> </w:t>
      </w:r>
      <w:r w:rsidRPr="008B129F">
        <w:rPr>
          <w:rFonts w:eastAsia="Times New Roman"/>
        </w:rPr>
        <w:t>Atenção à Saúde no âmbito do Sistema Único de Saúde</w:t>
      </w:r>
      <w:r w:rsidR="00D06AF1">
        <w:rPr>
          <w:rFonts w:eastAsia="Times New Roman"/>
        </w:rPr>
        <w:t xml:space="preserve"> </w:t>
      </w:r>
      <w:r w:rsidRPr="008B129F">
        <w:rPr>
          <w:rFonts w:eastAsia="Times New Roman"/>
        </w:rPr>
        <w:t>(SUS)</w:t>
      </w:r>
      <w:r>
        <w:rPr>
          <w:rFonts w:eastAsia="Times New Roman"/>
        </w:rPr>
        <w:t>;</w:t>
      </w:r>
    </w:p>
    <w:p w14:paraId="0814F3BF" w14:textId="75352BD3" w:rsidR="00612925" w:rsidRDefault="00612925" w:rsidP="00612925">
      <w:pPr>
        <w:pStyle w:val="PargrafodaLista"/>
        <w:numPr>
          <w:ilvl w:val="0"/>
          <w:numId w:val="5"/>
        </w:numPr>
        <w:jc w:val="both"/>
        <w:rPr>
          <w:rFonts w:eastAsia="Times New Roman"/>
        </w:rPr>
      </w:pPr>
      <w:r w:rsidRPr="00D06AF1">
        <w:rPr>
          <w:rFonts w:eastAsia="Times New Roman"/>
          <w:b/>
          <w:bCs/>
        </w:rPr>
        <w:t>Manual de Procedimentos para Tratamento Fora do Domicílio</w:t>
      </w:r>
      <w:r>
        <w:rPr>
          <w:rFonts w:eastAsia="Times New Roman"/>
        </w:rPr>
        <w:t xml:space="preserve"> da Secretaria de Estado da Saúde de Minas Gerais;</w:t>
      </w:r>
    </w:p>
    <w:p w14:paraId="2B1C3BF7" w14:textId="047F8834" w:rsidR="00612925" w:rsidRDefault="00612925" w:rsidP="00612925">
      <w:pPr>
        <w:pStyle w:val="PargrafodaLista"/>
        <w:numPr>
          <w:ilvl w:val="0"/>
          <w:numId w:val="5"/>
        </w:numPr>
        <w:jc w:val="both"/>
        <w:rPr>
          <w:rFonts w:eastAsia="Times New Roman"/>
        </w:rPr>
      </w:pPr>
      <w:r w:rsidRPr="00D06AF1">
        <w:rPr>
          <w:rFonts w:eastAsia="Times New Roman"/>
          <w:b/>
          <w:bCs/>
        </w:rPr>
        <w:t xml:space="preserve">Resolução nº 13, de 23 de fevereiro de 2017, </w:t>
      </w:r>
      <w:r w:rsidRPr="00D06AF1">
        <w:rPr>
          <w:rFonts w:eastAsia="Times New Roman"/>
          <w:b/>
          <w:bCs/>
        </w:rPr>
        <w:t>do Ministério da Saúde</w:t>
      </w:r>
      <w:r>
        <w:rPr>
          <w:rFonts w:eastAsia="Times New Roman"/>
        </w:rPr>
        <w:t>, que d</w:t>
      </w:r>
      <w:r w:rsidRPr="00612925">
        <w:rPr>
          <w:rFonts w:eastAsia="Times New Roman"/>
        </w:rPr>
        <w:t>ispõe sobre as diretrizes para o Transporte Sanitário Eletivo destinado ao deslocamento de usuários para realizar procedimentos de caráter eletivo no âmbito SUS</w:t>
      </w:r>
      <w:r>
        <w:rPr>
          <w:rFonts w:eastAsia="Times New Roman"/>
        </w:rPr>
        <w:t>;</w:t>
      </w:r>
    </w:p>
    <w:p w14:paraId="2676970B" w14:textId="77D86081" w:rsidR="00612925" w:rsidRDefault="008B129F" w:rsidP="00612925">
      <w:pPr>
        <w:pStyle w:val="PargrafodaLista"/>
        <w:numPr>
          <w:ilvl w:val="0"/>
          <w:numId w:val="5"/>
        </w:numPr>
        <w:jc w:val="both"/>
        <w:rPr>
          <w:rFonts w:eastAsia="Times New Roman"/>
        </w:rPr>
      </w:pPr>
      <w:r w:rsidRPr="00D06AF1">
        <w:rPr>
          <w:rFonts w:eastAsia="Times New Roman"/>
          <w:b/>
          <w:bCs/>
        </w:rPr>
        <w:t>Lei Federal nº 8.080, de 19 de setembro de 1990</w:t>
      </w:r>
      <w:r>
        <w:rPr>
          <w:rFonts w:eastAsia="Times New Roman"/>
        </w:rPr>
        <w:t xml:space="preserve"> – Lei Orgânica da Saúde, que d</w:t>
      </w:r>
      <w:r w:rsidRPr="008B129F">
        <w:rPr>
          <w:rFonts w:eastAsia="Times New Roman"/>
        </w:rPr>
        <w:t>ispõe sobre as condições para a promoção, proteção e recuperação da saúde, a organização e o funcionamento dos serviços correspondentes e dá outras providências.</w:t>
      </w:r>
    </w:p>
    <w:p w14:paraId="47708664" w14:textId="6AB6E688" w:rsidR="008B129F" w:rsidRPr="008B129F" w:rsidRDefault="008B129F" w:rsidP="008B129F">
      <w:pPr>
        <w:pStyle w:val="PargrafodaLista"/>
        <w:numPr>
          <w:ilvl w:val="0"/>
          <w:numId w:val="5"/>
        </w:numPr>
        <w:jc w:val="both"/>
        <w:rPr>
          <w:rFonts w:eastAsia="Times New Roman"/>
        </w:rPr>
      </w:pPr>
      <w:r w:rsidRPr="00D06AF1">
        <w:rPr>
          <w:rFonts w:eastAsia="Times New Roman"/>
          <w:b/>
          <w:bCs/>
        </w:rPr>
        <w:t>Lei Federal nº 13.460, de 26 de junho de 2017</w:t>
      </w:r>
      <w:r>
        <w:rPr>
          <w:rFonts w:eastAsia="Times New Roman"/>
        </w:rPr>
        <w:t>, que d</w:t>
      </w:r>
      <w:r w:rsidRPr="008B129F">
        <w:rPr>
          <w:rFonts w:eastAsia="Times New Roman"/>
        </w:rPr>
        <w:t>ispõe sobre participação, proteção e defesa dos direitos do usuário dos serviços públicos da administração pública.</w:t>
      </w:r>
    </w:p>
    <w:p w14:paraId="230B0F4A" w14:textId="6FE41667" w:rsidR="00395040" w:rsidRPr="00051D74" w:rsidRDefault="00395040" w:rsidP="00612925">
      <w:pPr>
        <w:ind w:firstLine="708"/>
        <w:jc w:val="both"/>
      </w:pPr>
      <w:r w:rsidRPr="00051D74">
        <w:t>É o breve relato dos fatos.</w:t>
      </w:r>
    </w:p>
    <w:p w14:paraId="3FA66A93" w14:textId="77777777" w:rsidR="00395040" w:rsidRPr="00051D74" w:rsidRDefault="00395040" w:rsidP="00D93250">
      <w:pPr>
        <w:pStyle w:val="Default"/>
        <w:spacing w:line="276" w:lineRule="auto"/>
        <w:jc w:val="both"/>
        <w:rPr>
          <w:b/>
          <w:bCs/>
          <w:color w:val="auto"/>
          <w:sz w:val="22"/>
          <w:szCs w:val="22"/>
        </w:rPr>
      </w:pPr>
    </w:p>
    <w:p w14:paraId="0F04A6C0" w14:textId="3BF5E574" w:rsidR="00CE3813" w:rsidRPr="00051D74" w:rsidRDefault="00395040" w:rsidP="00D93250">
      <w:pPr>
        <w:pStyle w:val="Default"/>
        <w:spacing w:line="276" w:lineRule="auto"/>
        <w:jc w:val="both"/>
        <w:rPr>
          <w:b/>
          <w:bCs/>
          <w:color w:val="auto"/>
          <w:sz w:val="22"/>
          <w:szCs w:val="22"/>
        </w:rPr>
      </w:pPr>
      <w:r w:rsidRPr="00051D74">
        <w:rPr>
          <w:b/>
          <w:bCs/>
          <w:color w:val="auto"/>
          <w:sz w:val="22"/>
          <w:szCs w:val="22"/>
        </w:rPr>
        <w:t xml:space="preserve">III – </w:t>
      </w:r>
      <w:r w:rsidR="00CE3813" w:rsidRPr="00051D74">
        <w:rPr>
          <w:b/>
          <w:bCs/>
          <w:color w:val="auto"/>
          <w:sz w:val="22"/>
          <w:szCs w:val="22"/>
        </w:rPr>
        <w:t>DA ANÁLISE JURÍDICA</w:t>
      </w:r>
      <w:r w:rsidR="00BD7E03" w:rsidRPr="00051D74">
        <w:rPr>
          <w:b/>
          <w:bCs/>
          <w:color w:val="auto"/>
          <w:sz w:val="22"/>
          <w:szCs w:val="22"/>
        </w:rPr>
        <w:t xml:space="preserve"> </w:t>
      </w:r>
    </w:p>
    <w:p w14:paraId="6A45A447" w14:textId="77777777" w:rsidR="00CE3813" w:rsidRPr="00051D74" w:rsidRDefault="00CE3813" w:rsidP="00D93250">
      <w:pPr>
        <w:pStyle w:val="Default"/>
        <w:spacing w:line="276" w:lineRule="auto"/>
        <w:jc w:val="both"/>
        <w:rPr>
          <w:b/>
          <w:bCs/>
          <w:color w:val="auto"/>
          <w:sz w:val="22"/>
          <w:szCs w:val="22"/>
        </w:rPr>
      </w:pPr>
    </w:p>
    <w:p w14:paraId="2CA8A538" w14:textId="6B705B54" w:rsidR="00BD5812" w:rsidRPr="00051D74" w:rsidRDefault="00CE3813" w:rsidP="002D3D3B">
      <w:pPr>
        <w:pStyle w:val="Default"/>
        <w:spacing w:line="276" w:lineRule="auto"/>
        <w:jc w:val="both"/>
        <w:rPr>
          <w:b/>
          <w:bCs/>
          <w:color w:val="auto"/>
          <w:sz w:val="22"/>
          <w:szCs w:val="22"/>
        </w:rPr>
      </w:pPr>
      <w:r w:rsidRPr="00051D74">
        <w:rPr>
          <w:b/>
          <w:bCs/>
          <w:color w:val="auto"/>
          <w:sz w:val="22"/>
          <w:szCs w:val="22"/>
        </w:rPr>
        <w:t xml:space="preserve">II.I </w:t>
      </w:r>
      <w:r w:rsidR="00BD7E03" w:rsidRPr="00051D74">
        <w:rPr>
          <w:b/>
          <w:bCs/>
          <w:color w:val="auto"/>
          <w:sz w:val="22"/>
          <w:szCs w:val="22"/>
        </w:rPr>
        <w:t>D</w:t>
      </w:r>
      <w:r w:rsidR="002D3D3B" w:rsidRPr="00051D74">
        <w:rPr>
          <w:b/>
          <w:bCs/>
          <w:color w:val="auto"/>
          <w:sz w:val="22"/>
          <w:szCs w:val="22"/>
        </w:rPr>
        <w:t>OS ASPECTOS FORMAIS</w:t>
      </w:r>
    </w:p>
    <w:p w14:paraId="17E0EE35" w14:textId="77777777" w:rsidR="000C6F57" w:rsidRPr="00051D74" w:rsidRDefault="000C6F57" w:rsidP="000C6F57">
      <w:pPr>
        <w:pStyle w:val="Default"/>
        <w:spacing w:line="276" w:lineRule="auto"/>
        <w:ind w:firstLine="1134"/>
        <w:jc w:val="both"/>
        <w:rPr>
          <w:sz w:val="22"/>
          <w:szCs w:val="22"/>
        </w:rPr>
      </w:pPr>
      <w:r w:rsidRPr="00051D74">
        <w:rPr>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051D74" w:rsidRDefault="002D3D3B" w:rsidP="00BD5812">
      <w:pPr>
        <w:pStyle w:val="Default"/>
        <w:spacing w:line="276" w:lineRule="auto"/>
        <w:ind w:firstLine="1134"/>
        <w:jc w:val="both"/>
        <w:rPr>
          <w:b/>
          <w:bCs/>
          <w:sz w:val="22"/>
          <w:szCs w:val="22"/>
        </w:rPr>
      </w:pPr>
    </w:p>
    <w:p w14:paraId="2CAE53F8" w14:textId="460A8FD6" w:rsidR="002D3D3B" w:rsidRPr="00051D74" w:rsidRDefault="002D3D3B" w:rsidP="00103581">
      <w:pPr>
        <w:pStyle w:val="Default"/>
        <w:spacing w:line="276" w:lineRule="auto"/>
        <w:ind w:firstLine="709"/>
        <w:jc w:val="both"/>
        <w:rPr>
          <w:b/>
          <w:bCs/>
          <w:sz w:val="22"/>
          <w:szCs w:val="22"/>
        </w:rPr>
      </w:pPr>
      <w:r w:rsidRPr="00051D74">
        <w:rPr>
          <w:b/>
          <w:bCs/>
          <w:sz w:val="22"/>
          <w:szCs w:val="22"/>
        </w:rPr>
        <w:t xml:space="preserve">a) Iniciativa de propositura </w:t>
      </w:r>
    </w:p>
    <w:p w14:paraId="3FD9B3B9" w14:textId="77777777" w:rsidR="000C6F57" w:rsidRPr="00051D74" w:rsidRDefault="000C6F57" w:rsidP="000C6F57">
      <w:pPr>
        <w:pStyle w:val="Default"/>
        <w:spacing w:line="276" w:lineRule="auto"/>
        <w:ind w:firstLine="1134"/>
        <w:jc w:val="both"/>
        <w:rPr>
          <w:sz w:val="22"/>
          <w:szCs w:val="22"/>
        </w:rPr>
      </w:pPr>
      <w:r w:rsidRPr="00051D74">
        <w:rPr>
          <w:sz w:val="22"/>
          <w:szCs w:val="22"/>
        </w:rPr>
        <w:t xml:space="preserve">Considera-se, conforme entendimento do Supremo Tribunal Federal, que “a verificação da inconstitucionalidade formal antecede logicamente e, se afirmada, a rigor </w:t>
      </w:r>
      <w:r w:rsidRPr="00051D74">
        <w:rPr>
          <w:sz w:val="22"/>
          <w:szCs w:val="22"/>
        </w:rPr>
        <w:lastRenderedPageBreak/>
        <w:t>prejudica a da inconstitucionalidade material” (ADI 1.434, voto do rel. min. Sepúlveda Pertence, j. 10-11-1999, P, </w:t>
      </w:r>
      <w:r w:rsidRPr="00051D74">
        <w:rPr>
          <w:i/>
          <w:iCs/>
          <w:sz w:val="22"/>
          <w:szCs w:val="22"/>
        </w:rPr>
        <w:t>DJ</w:t>
      </w:r>
      <w:r w:rsidRPr="00051D74">
        <w:rPr>
          <w:sz w:val="22"/>
          <w:szCs w:val="22"/>
        </w:rPr>
        <w:t> de 25-2-2000).</w:t>
      </w:r>
    </w:p>
    <w:p w14:paraId="3A82BD76" w14:textId="51BD5D57" w:rsidR="007B770E" w:rsidRPr="00051D74" w:rsidRDefault="007B770E" w:rsidP="00BD5812">
      <w:pPr>
        <w:pStyle w:val="Default"/>
        <w:spacing w:line="276" w:lineRule="auto"/>
        <w:ind w:firstLine="1134"/>
        <w:jc w:val="both"/>
        <w:rPr>
          <w:sz w:val="22"/>
          <w:szCs w:val="22"/>
        </w:rPr>
      </w:pPr>
      <w:r w:rsidRPr="00051D74">
        <w:rPr>
          <w:sz w:val="22"/>
          <w:szCs w:val="22"/>
        </w:rPr>
        <w:t xml:space="preserve">Nesse sentido, </w:t>
      </w:r>
      <w:r w:rsidR="00BD5812" w:rsidRPr="00051D74">
        <w:rPr>
          <w:sz w:val="22"/>
          <w:szCs w:val="22"/>
        </w:rPr>
        <w:t>é importante observar</w:t>
      </w:r>
      <w:r w:rsidR="003F25DB" w:rsidRPr="00051D74">
        <w:rPr>
          <w:sz w:val="22"/>
          <w:szCs w:val="22"/>
        </w:rPr>
        <w:t>,</w:t>
      </w:r>
      <w:r w:rsidR="00BD5812" w:rsidRPr="00051D74">
        <w:rPr>
          <w:sz w:val="22"/>
          <w:szCs w:val="22"/>
        </w:rPr>
        <w:t xml:space="preserve"> </w:t>
      </w:r>
      <w:r w:rsidR="003F25DB" w:rsidRPr="00051D74">
        <w:rPr>
          <w:sz w:val="22"/>
          <w:szCs w:val="22"/>
        </w:rPr>
        <w:t xml:space="preserve">primeiramente, </w:t>
      </w:r>
      <w:r w:rsidR="00BD5812" w:rsidRPr="00051D74">
        <w:rPr>
          <w:sz w:val="22"/>
          <w:szCs w:val="22"/>
        </w:rPr>
        <w:t xml:space="preserve">se a </w:t>
      </w:r>
      <w:r w:rsidRPr="00051D74">
        <w:rPr>
          <w:sz w:val="22"/>
          <w:szCs w:val="22"/>
        </w:rPr>
        <w:t>pessoa ou órgão que propôs o projeto aqui analisado está autorizado a fazê-lo, ou se foi violada alguma d</w:t>
      </w:r>
      <w:r w:rsidR="00BD5812" w:rsidRPr="00051D74">
        <w:rPr>
          <w:sz w:val="22"/>
          <w:szCs w:val="22"/>
        </w:rPr>
        <w:t xml:space="preserve">as regras rígidas da reserva de iniciativa para a proposição. </w:t>
      </w:r>
    </w:p>
    <w:p w14:paraId="417446B6" w14:textId="77777777" w:rsidR="00BD5812" w:rsidRPr="00051D74" w:rsidRDefault="00BD5812" w:rsidP="00BD5812">
      <w:pPr>
        <w:pStyle w:val="Default"/>
        <w:spacing w:line="276" w:lineRule="auto"/>
        <w:ind w:firstLine="1134"/>
        <w:jc w:val="both"/>
        <w:rPr>
          <w:sz w:val="22"/>
          <w:szCs w:val="22"/>
        </w:rPr>
      </w:pPr>
    </w:p>
    <w:p w14:paraId="26661448" w14:textId="77777777" w:rsidR="00BD5812" w:rsidRPr="00051D74" w:rsidRDefault="00BD5812" w:rsidP="00BD5812">
      <w:pPr>
        <w:pStyle w:val="Default"/>
        <w:spacing w:line="276" w:lineRule="auto"/>
        <w:ind w:firstLine="1134"/>
        <w:jc w:val="both"/>
        <w:rPr>
          <w:color w:val="auto"/>
          <w:sz w:val="22"/>
          <w:szCs w:val="22"/>
        </w:rPr>
      </w:pPr>
      <w:r w:rsidRPr="00051D74">
        <w:rPr>
          <w:color w:val="auto"/>
          <w:sz w:val="22"/>
          <w:szCs w:val="22"/>
        </w:rPr>
        <w:t>Com relação à competência para iniciar o processo legislativo, já entendeu o Supremo Tribunal Federal que o rol das matérias reservadas à iniciativa do chefe do Poder Executivo deve ser interpretado restritivamente (Tema 917):</w:t>
      </w:r>
    </w:p>
    <w:p w14:paraId="3524D231" w14:textId="77777777" w:rsidR="00BD5812" w:rsidRPr="00051D74" w:rsidRDefault="00BD5812" w:rsidP="00BD5812">
      <w:pPr>
        <w:pStyle w:val="Default"/>
        <w:spacing w:after="240"/>
        <w:ind w:left="2268"/>
        <w:jc w:val="both"/>
        <w:rPr>
          <w:i/>
          <w:iCs/>
          <w:color w:val="auto"/>
          <w:sz w:val="22"/>
          <w:szCs w:val="22"/>
        </w:rPr>
      </w:pPr>
      <w:r w:rsidRPr="00051D74">
        <w:rPr>
          <w:i/>
          <w:iCs/>
          <w:color w:val="auto"/>
          <w:sz w:val="22"/>
          <w:szCs w:val="22"/>
        </w:rPr>
        <w:t xml:space="preserve">“Não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p w14:paraId="2823C870" w14:textId="52A1CA87" w:rsidR="00906083" w:rsidRDefault="00EC242A" w:rsidP="00977DFB">
      <w:pPr>
        <w:pStyle w:val="Default"/>
        <w:spacing w:line="276" w:lineRule="auto"/>
        <w:ind w:firstLine="1134"/>
        <w:jc w:val="both"/>
        <w:rPr>
          <w:color w:val="auto"/>
          <w:sz w:val="22"/>
          <w:szCs w:val="22"/>
        </w:rPr>
      </w:pPr>
      <w:r w:rsidRPr="00051D74">
        <w:rPr>
          <w:color w:val="auto"/>
          <w:sz w:val="22"/>
          <w:szCs w:val="22"/>
        </w:rPr>
        <w:t>O projeto analisado é de iniciativa parlamentar e</w:t>
      </w:r>
      <w:r w:rsidR="00C120A2" w:rsidRPr="00051D74">
        <w:rPr>
          <w:color w:val="auto"/>
          <w:sz w:val="22"/>
          <w:szCs w:val="22"/>
        </w:rPr>
        <w:t>, salvo melhor juízo,</w:t>
      </w:r>
      <w:r w:rsidRPr="00051D74">
        <w:rPr>
          <w:color w:val="auto"/>
          <w:sz w:val="22"/>
          <w:szCs w:val="22"/>
        </w:rPr>
        <w:t xml:space="preserve"> encontra respaldo na autonomia dos vereadores para legislar sobre assuntos de interesse local. </w:t>
      </w:r>
      <w:r w:rsidR="00977DFB" w:rsidRPr="00977DFB">
        <w:rPr>
          <w:color w:val="auto"/>
          <w:sz w:val="22"/>
          <w:szCs w:val="22"/>
        </w:rPr>
        <w:t>No presente caso, o projeto regulamenta uma política de saúde (transporte de pacientes) e delega ao Executivo a competência para regulamentar os procedimentos, não alterando a estrutura ou as atribuições de órgãos públicos.</w:t>
      </w:r>
    </w:p>
    <w:p w14:paraId="6A799512" w14:textId="6B34CA7E" w:rsidR="00977DFB" w:rsidRPr="00051D74" w:rsidRDefault="00977DFB" w:rsidP="00977DFB">
      <w:pPr>
        <w:pStyle w:val="Default"/>
        <w:spacing w:line="276" w:lineRule="auto"/>
        <w:ind w:firstLine="1134"/>
        <w:jc w:val="both"/>
        <w:rPr>
          <w:color w:val="auto"/>
          <w:sz w:val="22"/>
          <w:szCs w:val="22"/>
        </w:rPr>
      </w:pPr>
      <w:r w:rsidRPr="00977DFB">
        <w:rPr>
          <w:color w:val="auto"/>
          <w:sz w:val="22"/>
          <w:szCs w:val="22"/>
        </w:rPr>
        <w:t>O projeto em apreço não trata de reorganização administrativa ou criação de novos órgãos; ele regula a prestação de um serviço (transporte de pacientes) já inerente à política de saúde.</w:t>
      </w:r>
      <w:r>
        <w:rPr>
          <w:color w:val="auto"/>
          <w:sz w:val="22"/>
          <w:szCs w:val="22"/>
        </w:rPr>
        <w:t xml:space="preserve"> </w:t>
      </w:r>
      <w:r w:rsidRPr="00977DFB">
        <w:rPr>
          <w:color w:val="auto"/>
          <w:sz w:val="22"/>
          <w:szCs w:val="22"/>
        </w:rPr>
        <w:t>Ademais, o dispositivo que delega ao Executivo a regulamentação</w:t>
      </w:r>
      <w:r w:rsidR="00612925">
        <w:rPr>
          <w:color w:val="auto"/>
          <w:sz w:val="22"/>
          <w:szCs w:val="22"/>
        </w:rPr>
        <w:t xml:space="preserve"> </w:t>
      </w:r>
      <w:r w:rsidRPr="00977DFB">
        <w:rPr>
          <w:color w:val="auto"/>
          <w:sz w:val="22"/>
          <w:szCs w:val="22"/>
        </w:rPr>
        <w:t>preserva a competência do Poder Executivo na execução e na operacionalização da política.</w:t>
      </w:r>
    </w:p>
    <w:p w14:paraId="4CF9F24E" w14:textId="77777777" w:rsidR="00BD5812" w:rsidRPr="00051D74" w:rsidRDefault="00BD5812" w:rsidP="00BD5812">
      <w:pPr>
        <w:pStyle w:val="Default"/>
        <w:spacing w:line="276" w:lineRule="auto"/>
        <w:ind w:firstLine="1134"/>
        <w:jc w:val="both"/>
        <w:rPr>
          <w:color w:val="FF0000"/>
          <w:sz w:val="22"/>
          <w:szCs w:val="22"/>
        </w:rPr>
      </w:pPr>
    </w:p>
    <w:p w14:paraId="0FB75FD2" w14:textId="1EBEC074" w:rsidR="00103581" w:rsidRPr="00051D74" w:rsidRDefault="00103581" w:rsidP="00103581">
      <w:pPr>
        <w:pStyle w:val="Default"/>
        <w:spacing w:line="276" w:lineRule="auto"/>
        <w:ind w:firstLine="708"/>
        <w:jc w:val="both"/>
        <w:rPr>
          <w:b/>
          <w:bCs/>
          <w:color w:val="auto"/>
          <w:sz w:val="22"/>
          <w:szCs w:val="22"/>
        </w:rPr>
      </w:pPr>
      <w:r w:rsidRPr="00051D74">
        <w:rPr>
          <w:b/>
          <w:bCs/>
          <w:color w:val="auto"/>
          <w:sz w:val="22"/>
          <w:szCs w:val="22"/>
        </w:rPr>
        <w:t xml:space="preserve">b) Tipo de proposição </w:t>
      </w:r>
      <w:r w:rsidR="001F7468" w:rsidRPr="00051D74">
        <w:rPr>
          <w:b/>
          <w:bCs/>
          <w:color w:val="auto"/>
          <w:sz w:val="22"/>
          <w:szCs w:val="22"/>
        </w:rPr>
        <w:t>e quórum de aprovação</w:t>
      </w:r>
    </w:p>
    <w:p w14:paraId="614BC5DE" w14:textId="769D755C" w:rsidR="00C83C8E" w:rsidRPr="00051D74" w:rsidRDefault="00C83C8E" w:rsidP="00C83C8E">
      <w:pPr>
        <w:pStyle w:val="Default"/>
        <w:spacing w:line="276" w:lineRule="auto"/>
        <w:ind w:firstLine="1134"/>
        <w:jc w:val="both"/>
        <w:rPr>
          <w:color w:val="auto"/>
          <w:sz w:val="22"/>
          <w:szCs w:val="22"/>
        </w:rPr>
      </w:pPr>
      <w:r w:rsidRPr="00051D74">
        <w:rPr>
          <w:color w:val="auto"/>
          <w:sz w:val="22"/>
          <w:szCs w:val="22"/>
        </w:rPr>
        <w:t xml:space="preserve">Conforme entendimento do STF (ADI 5003, ADI 2926, ADI 789), estão previstas na </w:t>
      </w:r>
      <w:r w:rsidR="00037A51" w:rsidRPr="00051D74">
        <w:rPr>
          <w:color w:val="auto"/>
          <w:sz w:val="22"/>
          <w:szCs w:val="22"/>
        </w:rPr>
        <w:t>Constituição da República</w:t>
      </w:r>
      <w:r w:rsidRPr="00051D74">
        <w:rPr>
          <w:color w:val="auto"/>
          <w:sz w:val="22"/>
          <w:szCs w:val="22"/>
        </w:rPr>
        <w:t xml:space="preserve"> as matérias para as quais o legislador constituinte decidiu garantir a necessidade de maior quórum de votação para a sua aprovação, apresentando-as como assuntos de lei complementar ou matérias sujeitas a quóruns qualificados. Desse modo, entendeu a Corte Suprema que não devem os entes estaduais e municipais ampliar tal rol, sob pena de restringir o princípio da suficiência da maioria.</w:t>
      </w:r>
    </w:p>
    <w:p w14:paraId="31DC08D6" w14:textId="77777777" w:rsidR="00C83C8E" w:rsidRPr="00051D74" w:rsidRDefault="00C83C8E" w:rsidP="00103581">
      <w:pPr>
        <w:pStyle w:val="Default"/>
        <w:spacing w:line="276" w:lineRule="auto"/>
        <w:ind w:firstLine="1134"/>
        <w:jc w:val="both"/>
        <w:rPr>
          <w:color w:val="auto"/>
          <w:sz w:val="22"/>
          <w:szCs w:val="22"/>
        </w:rPr>
      </w:pPr>
    </w:p>
    <w:p w14:paraId="4EAADA5E" w14:textId="00D977F8" w:rsidR="001F7468" w:rsidRPr="00051D74" w:rsidRDefault="00A9445D" w:rsidP="00103581">
      <w:pPr>
        <w:pStyle w:val="Default"/>
        <w:spacing w:line="276" w:lineRule="auto"/>
        <w:ind w:firstLine="1134"/>
        <w:jc w:val="both"/>
        <w:rPr>
          <w:color w:val="auto"/>
          <w:sz w:val="22"/>
          <w:szCs w:val="22"/>
        </w:rPr>
      </w:pPr>
      <w:r w:rsidRPr="00051D74">
        <w:rPr>
          <w:color w:val="auto"/>
          <w:sz w:val="22"/>
          <w:szCs w:val="22"/>
        </w:rPr>
        <w:t>Sobre controvérsias relativas ao tipo de proposição e ao quórum de aprovação presentes na Constituição da República e na legislação local, o</w:t>
      </w:r>
      <w:r w:rsidR="001F7468" w:rsidRPr="00051D74">
        <w:rPr>
          <w:color w:val="auto"/>
          <w:sz w:val="22"/>
          <w:szCs w:val="22"/>
        </w:rPr>
        <w:t>bserva-se que esta Advocacia Legislativa já emitiu Nota Técnica nº 003/2024, a qual se reporta para maiores esclarecimentos.</w:t>
      </w:r>
    </w:p>
    <w:p w14:paraId="08E3AC4C" w14:textId="25416B81" w:rsidR="00103581" w:rsidRPr="00051D74" w:rsidRDefault="00A9445D" w:rsidP="00103581">
      <w:pPr>
        <w:pStyle w:val="Default"/>
        <w:spacing w:line="276" w:lineRule="auto"/>
        <w:ind w:firstLine="1134"/>
        <w:jc w:val="both"/>
        <w:rPr>
          <w:color w:val="auto"/>
          <w:sz w:val="22"/>
          <w:szCs w:val="22"/>
        </w:rPr>
      </w:pPr>
      <w:r w:rsidRPr="00051D74">
        <w:rPr>
          <w:color w:val="auto"/>
          <w:sz w:val="22"/>
          <w:szCs w:val="22"/>
        </w:rPr>
        <w:t>Dito isso, no</w:t>
      </w:r>
      <w:r w:rsidR="00103581" w:rsidRPr="00051D74">
        <w:rPr>
          <w:color w:val="auto"/>
          <w:sz w:val="22"/>
          <w:szCs w:val="22"/>
        </w:rPr>
        <w:t xml:space="preserve"> tocante ao</w:t>
      </w:r>
      <w:r w:rsidR="00103581" w:rsidRPr="00051D74">
        <w:rPr>
          <w:b/>
          <w:bCs/>
          <w:color w:val="auto"/>
          <w:sz w:val="22"/>
          <w:szCs w:val="22"/>
        </w:rPr>
        <w:t xml:space="preserve"> tipo de proposição</w:t>
      </w:r>
      <w:r w:rsidR="00103581" w:rsidRPr="00051D74">
        <w:rPr>
          <w:color w:val="auto"/>
          <w:sz w:val="22"/>
          <w:szCs w:val="22"/>
        </w:rPr>
        <w:t xml:space="preserve">, a matéria tratada não é assunto de lei complementar, pelo o que a sua apresentação como lei ordinária está adequada. </w:t>
      </w:r>
    </w:p>
    <w:p w14:paraId="563F6490" w14:textId="77777777" w:rsidR="00F54B3A" w:rsidRPr="00051D74" w:rsidRDefault="00F54B3A" w:rsidP="00103581">
      <w:pPr>
        <w:pStyle w:val="Default"/>
        <w:spacing w:line="276" w:lineRule="auto"/>
        <w:ind w:firstLine="1134"/>
        <w:jc w:val="both"/>
        <w:rPr>
          <w:color w:val="FF0000"/>
          <w:sz w:val="22"/>
          <w:szCs w:val="22"/>
        </w:rPr>
      </w:pPr>
    </w:p>
    <w:p w14:paraId="7CC9A618" w14:textId="77777777" w:rsidR="00C776E5" w:rsidRPr="00051D74" w:rsidRDefault="00C776E5" w:rsidP="00C776E5">
      <w:pPr>
        <w:pStyle w:val="Default"/>
        <w:spacing w:line="276" w:lineRule="auto"/>
        <w:jc w:val="both"/>
        <w:rPr>
          <w:b/>
          <w:bCs/>
          <w:color w:val="auto"/>
          <w:sz w:val="22"/>
          <w:szCs w:val="22"/>
        </w:rPr>
      </w:pPr>
      <w:r w:rsidRPr="00051D74">
        <w:rPr>
          <w:b/>
          <w:bCs/>
          <w:color w:val="auto"/>
          <w:sz w:val="22"/>
          <w:szCs w:val="22"/>
        </w:rPr>
        <w:t>II.II DOS ASPECTOS PROCEDIMENTAIS</w:t>
      </w:r>
    </w:p>
    <w:p w14:paraId="5EF5DCF4"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 xml:space="preserve">A análise dos aspectos procedimentais é essencial para verificar se o projeto segue corretamente o Regimento Interno da Câmara Municipal, bem como normas superiores. Desse </w:t>
      </w:r>
      <w:r w:rsidRPr="00051D74">
        <w:rPr>
          <w:color w:val="auto"/>
          <w:sz w:val="22"/>
          <w:szCs w:val="22"/>
        </w:rPr>
        <w:lastRenderedPageBreak/>
        <w:t>modo, tem o sentido de orientar esta Casa Legislativa, assegurar a regularidade da proposta e garantir a segurança jurídica.</w:t>
      </w:r>
    </w:p>
    <w:p w14:paraId="192A6EC2" w14:textId="77777777" w:rsidR="00C776E5" w:rsidRPr="00051D74" w:rsidRDefault="00C776E5" w:rsidP="00C776E5">
      <w:pPr>
        <w:pStyle w:val="Default"/>
        <w:spacing w:line="276" w:lineRule="auto"/>
        <w:ind w:firstLine="1134"/>
        <w:jc w:val="both"/>
        <w:rPr>
          <w:color w:val="auto"/>
          <w:sz w:val="22"/>
          <w:szCs w:val="22"/>
        </w:rPr>
      </w:pPr>
    </w:p>
    <w:p w14:paraId="0BE7D475"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 xml:space="preserve">a) Regime de tramitação </w:t>
      </w:r>
    </w:p>
    <w:p w14:paraId="2D20F9AC" w14:textId="493D428C" w:rsidR="00C776E5" w:rsidRPr="00051D74" w:rsidRDefault="00C776E5" w:rsidP="00C776E5">
      <w:pPr>
        <w:pStyle w:val="Default"/>
        <w:spacing w:line="276" w:lineRule="auto"/>
        <w:ind w:firstLine="1134"/>
        <w:jc w:val="both"/>
        <w:rPr>
          <w:color w:val="auto"/>
          <w:sz w:val="22"/>
          <w:szCs w:val="22"/>
        </w:rPr>
      </w:pPr>
      <w:bookmarkStart w:id="1" w:name="_Hlk190952719"/>
      <w:r w:rsidRPr="00051D74">
        <w:rPr>
          <w:color w:val="auto"/>
          <w:sz w:val="22"/>
          <w:szCs w:val="22"/>
        </w:rPr>
        <w:t>Sobre o procedimento e regime de tramitação, tendo tido iniciativa de Parlamentar,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65170690" w14:textId="77777777" w:rsidR="00C776E5" w:rsidRPr="00051D74" w:rsidRDefault="00C776E5" w:rsidP="00C776E5">
      <w:pPr>
        <w:pStyle w:val="Default"/>
        <w:spacing w:line="276" w:lineRule="auto"/>
        <w:ind w:firstLine="1134"/>
        <w:jc w:val="both"/>
        <w:rPr>
          <w:color w:val="FF0000"/>
          <w:sz w:val="22"/>
          <w:szCs w:val="22"/>
        </w:rPr>
      </w:pPr>
    </w:p>
    <w:p w14:paraId="73DB60D7" w14:textId="77777777" w:rsidR="00C776E5" w:rsidRPr="00051D74" w:rsidRDefault="00C776E5" w:rsidP="00C776E5">
      <w:pPr>
        <w:pStyle w:val="Default"/>
        <w:spacing w:line="276" w:lineRule="auto"/>
        <w:ind w:firstLine="1134"/>
        <w:jc w:val="both"/>
        <w:rPr>
          <w:color w:val="auto"/>
          <w:sz w:val="22"/>
          <w:szCs w:val="22"/>
        </w:rPr>
      </w:pPr>
      <w:bookmarkStart w:id="2" w:name="_Hlk190952753"/>
      <w:bookmarkEnd w:id="1"/>
      <w:r w:rsidRPr="00051D74">
        <w:rPr>
          <w:color w:val="auto"/>
          <w:sz w:val="22"/>
          <w:szCs w:val="22"/>
        </w:rPr>
        <w:t xml:space="preserve">Assim, para a aprovação do Projeto em análise serão necessários os </w:t>
      </w:r>
      <w:r w:rsidRPr="00051D74">
        <w:rPr>
          <w:b/>
          <w:bCs/>
          <w:color w:val="auto"/>
          <w:sz w:val="22"/>
          <w:szCs w:val="22"/>
        </w:rPr>
        <w:t>votos da maioria simples</w:t>
      </w:r>
      <w:r w:rsidRPr="00051D74">
        <w:rPr>
          <w:color w:val="auto"/>
          <w:sz w:val="22"/>
          <w:szCs w:val="22"/>
        </w:rPr>
        <w:t xml:space="preserve"> dos membros da Casa (art. 153, RI; art. 66, LOM) </w:t>
      </w:r>
      <w:r w:rsidRPr="00051D74">
        <w:rPr>
          <w:b/>
          <w:bCs/>
          <w:color w:val="auto"/>
          <w:sz w:val="22"/>
          <w:szCs w:val="22"/>
        </w:rPr>
        <w:t xml:space="preserve">em dois turnos de votação </w:t>
      </w:r>
      <w:r w:rsidRPr="00051D74">
        <w:rPr>
          <w:color w:val="auto"/>
          <w:sz w:val="22"/>
          <w:szCs w:val="22"/>
        </w:rPr>
        <w:t xml:space="preserve">(art. 137, RI). É importante ressaltar que o Presidente da Mesa Diretora participa da votação apenas no caso de empate. </w:t>
      </w:r>
    </w:p>
    <w:p w14:paraId="421F0A2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 xml:space="preserve">Ainda, deve o projeto receber </w:t>
      </w:r>
      <w:r w:rsidRPr="00051D74">
        <w:rPr>
          <w:b/>
          <w:bCs/>
          <w:color w:val="auto"/>
          <w:sz w:val="22"/>
          <w:szCs w:val="22"/>
        </w:rPr>
        <w:t xml:space="preserve">parecer das comissões permanentes </w:t>
      </w:r>
      <w:r w:rsidRPr="00051D74">
        <w:rPr>
          <w:color w:val="auto"/>
          <w:sz w:val="22"/>
          <w:szCs w:val="22"/>
        </w:rPr>
        <w:t>antes de seguir para deliberação e votação (arts. 58, 62, 77 e 87 a 89, RI; art. 74, LOM).</w:t>
      </w:r>
    </w:p>
    <w:bookmarkEnd w:id="2"/>
    <w:p w14:paraId="3BD518F7" w14:textId="77777777" w:rsidR="00C776E5" w:rsidRPr="00051D74" w:rsidRDefault="00C776E5" w:rsidP="00C776E5">
      <w:pPr>
        <w:pStyle w:val="Default"/>
        <w:spacing w:line="276" w:lineRule="auto"/>
        <w:ind w:firstLine="1134"/>
        <w:jc w:val="both"/>
        <w:rPr>
          <w:color w:val="auto"/>
          <w:sz w:val="22"/>
          <w:szCs w:val="22"/>
        </w:rPr>
      </w:pPr>
    </w:p>
    <w:p w14:paraId="64BD3F88"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b) Similaridade</w:t>
      </w:r>
    </w:p>
    <w:p w14:paraId="4B3B33E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29323927" w14:textId="77777777" w:rsidR="00612925" w:rsidRPr="00051D74" w:rsidRDefault="00612925" w:rsidP="00C776E5">
      <w:pPr>
        <w:pStyle w:val="Default"/>
        <w:spacing w:line="276" w:lineRule="auto"/>
        <w:ind w:firstLine="708"/>
        <w:jc w:val="both"/>
        <w:rPr>
          <w:b/>
          <w:bCs/>
          <w:color w:val="auto"/>
          <w:sz w:val="22"/>
          <w:szCs w:val="22"/>
        </w:rPr>
      </w:pPr>
    </w:p>
    <w:p w14:paraId="561259BD"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c) Prejudicialidade e aceitação</w:t>
      </w:r>
    </w:p>
    <w:p w14:paraId="73D49F4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 xml:space="preserve">Por sua vez, o art. 133 do RI estabelece as hipóteses em que o Presidente não aceitará proposição, por apresentar vícios. </w:t>
      </w:r>
    </w:p>
    <w:p w14:paraId="020856D6" w14:textId="55B84C6D" w:rsidR="00C776E5"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051D74" w:rsidRDefault="00F54B3A" w:rsidP="00F54B3A">
      <w:pPr>
        <w:pStyle w:val="Default"/>
        <w:spacing w:line="276" w:lineRule="auto"/>
        <w:ind w:firstLine="1134"/>
        <w:jc w:val="both"/>
        <w:rPr>
          <w:color w:val="auto"/>
          <w:sz w:val="22"/>
          <w:szCs w:val="22"/>
        </w:rPr>
      </w:pPr>
    </w:p>
    <w:p w14:paraId="14F7FA74"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d) Técnica legislativa</w:t>
      </w:r>
    </w:p>
    <w:p w14:paraId="16BAC391" w14:textId="77777777" w:rsidR="00B35B55" w:rsidRPr="00051D74" w:rsidRDefault="00B35B55" w:rsidP="00C776E5">
      <w:pPr>
        <w:pStyle w:val="Default"/>
        <w:spacing w:line="276" w:lineRule="auto"/>
        <w:ind w:firstLine="1134"/>
        <w:jc w:val="both"/>
        <w:rPr>
          <w:color w:val="auto"/>
          <w:sz w:val="22"/>
          <w:szCs w:val="22"/>
        </w:rPr>
      </w:pPr>
      <w:r w:rsidRPr="00051D74">
        <w:rPr>
          <w:color w:val="auto"/>
          <w:sz w:val="22"/>
          <w:szCs w:val="22"/>
        </w:rPr>
        <w:t>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seus autores e apresentação de justificativa.</w:t>
      </w:r>
    </w:p>
    <w:p w14:paraId="4D8676A6" w14:textId="77777777" w:rsidR="002D3D3B" w:rsidRDefault="002D3D3B" w:rsidP="00D93250">
      <w:pPr>
        <w:pStyle w:val="Default"/>
        <w:spacing w:line="276" w:lineRule="auto"/>
        <w:jc w:val="both"/>
        <w:rPr>
          <w:b/>
          <w:bCs/>
          <w:color w:val="auto"/>
          <w:sz w:val="22"/>
          <w:szCs w:val="22"/>
        </w:rPr>
      </w:pPr>
    </w:p>
    <w:p w14:paraId="5F779B88" w14:textId="77777777" w:rsidR="00681131" w:rsidRPr="00051D74" w:rsidRDefault="00681131" w:rsidP="00D93250">
      <w:pPr>
        <w:pStyle w:val="Default"/>
        <w:spacing w:line="276" w:lineRule="auto"/>
        <w:jc w:val="both"/>
        <w:rPr>
          <w:b/>
          <w:bCs/>
          <w:color w:val="auto"/>
          <w:sz w:val="22"/>
          <w:szCs w:val="22"/>
        </w:rPr>
      </w:pPr>
    </w:p>
    <w:p w14:paraId="201EB725" w14:textId="35CDE666" w:rsidR="007E0FCA" w:rsidRPr="00051D74" w:rsidRDefault="00103581" w:rsidP="00D93250">
      <w:pPr>
        <w:pStyle w:val="Default"/>
        <w:spacing w:line="276" w:lineRule="auto"/>
        <w:jc w:val="both"/>
        <w:rPr>
          <w:b/>
          <w:bCs/>
          <w:color w:val="auto"/>
          <w:sz w:val="22"/>
          <w:szCs w:val="22"/>
        </w:rPr>
      </w:pPr>
      <w:r w:rsidRPr="00051D74">
        <w:rPr>
          <w:b/>
          <w:bCs/>
          <w:color w:val="auto"/>
          <w:sz w:val="22"/>
          <w:szCs w:val="22"/>
        </w:rPr>
        <w:lastRenderedPageBreak/>
        <w:t xml:space="preserve">I. </w:t>
      </w:r>
      <w:r w:rsidR="00C776E5" w:rsidRPr="00051D74">
        <w:rPr>
          <w:b/>
          <w:bCs/>
          <w:color w:val="auto"/>
          <w:sz w:val="22"/>
          <w:szCs w:val="22"/>
        </w:rPr>
        <w:t>I</w:t>
      </w:r>
      <w:r w:rsidR="002D3D3B" w:rsidRPr="00051D74">
        <w:rPr>
          <w:b/>
          <w:bCs/>
          <w:color w:val="auto"/>
          <w:sz w:val="22"/>
          <w:szCs w:val="22"/>
        </w:rPr>
        <w:t>II DOS ASPECTOS MATERIAIS</w:t>
      </w:r>
    </w:p>
    <w:p w14:paraId="5179A423" w14:textId="78ECC711" w:rsidR="00940132" w:rsidRPr="00051D74" w:rsidRDefault="00940132" w:rsidP="00D93250">
      <w:pPr>
        <w:pStyle w:val="Default"/>
        <w:spacing w:line="276" w:lineRule="auto"/>
        <w:ind w:firstLine="1134"/>
        <w:jc w:val="both"/>
        <w:rPr>
          <w:color w:val="auto"/>
          <w:sz w:val="22"/>
          <w:szCs w:val="22"/>
        </w:rPr>
      </w:pPr>
      <w:r w:rsidRPr="00051D74">
        <w:rPr>
          <w:color w:val="auto"/>
          <w:sz w:val="22"/>
          <w:szCs w:val="22"/>
        </w:rPr>
        <w:t>Os aspectos materiais da proposição do processo legislativo referem-se ao seu conteúdo</w:t>
      </w:r>
      <w:r w:rsidR="00491D3F" w:rsidRPr="00051D74">
        <w:rPr>
          <w:color w:val="auto"/>
          <w:sz w:val="22"/>
          <w:szCs w:val="22"/>
        </w:rPr>
        <w:t xml:space="preserve">, analisando se existe autorização na Constituição da República para o Município tratar sobre a matéria e se inexiste eventual </w:t>
      </w:r>
      <w:r w:rsidRPr="00051D74">
        <w:rPr>
          <w:color w:val="auto"/>
          <w:sz w:val="22"/>
          <w:szCs w:val="22"/>
        </w:rPr>
        <w:t>violação a princípios, direitos e garantias assegurados no ordenamento jurídico brasileiro.</w:t>
      </w:r>
    </w:p>
    <w:p w14:paraId="57C5FE54" w14:textId="3C1FD69A" w:rsidR="00977DFB" w:rsidRPr="00977DFB" w:rsidRDefault="00977DFB" w:rsidP="00977DFB">
      <w:pPr>
        <w:pStyle w:val="Default"/>
        <w:spacing w:line="276" w:lineRule="auto"/>
        <w:ind w:firstLine="1134"/>
        <w:jc w:val="both"/>
        <w:rPr>
          <w:sz w:val="22"/>
          <w:szCs w:val="22"/>
        </w:rPr>
      </w:pPr>
      <w:r w:rsidRPr="00977DFB">
        <w:rPr>
          <w:sz w:val="22"/>
          <w:szCs w:val="22"/>
        </w:rPr>
        <w:t xml:space="preserve">A saúde é direito fundamental e responsabilidade compartilhada entre União, Estados e Municípios, conforme o art. 196 da Constituição Federal. </w:t>
      </w:r>
      <w:r>
        <w:rPr>
          <w:sz w:val="22"/>
          <w:szCs w:val="22"/>
        </w:rPr>
        <w:t>Desse modo, o</w:t>
      </w:r>
      <w:r w:rsidRPr="00977DFB">
        <w:rPr>
          <w:sz w:val="22"/>
          <w:szCs w:val="22"/>
        </w:rPr>
        <w:t xml:space="preserve"> Município de possui competência para legislar sobre políticas de saúde que atendam às necessidades locais, desde que em conformidade com as diretrizes do SUS e sem ofensa a normas federais e estaduais.</w:t>
      </w:r>
    </w:p>
    <w:p w14:paraId="3290ABA4" w14:textId="4E09D6CA" w:rsidR="00977DFB" w:rsidRDefault="00977DFB" w:rsidP="00977DFB">
      <w:pPr>
        <w:pStyle w:val="Default"/>
        <w:spacing w:line="276" w:lineRule="auto"/>
        <w:ind w:firstLine="1134"/>
        <w:jc w:val="both"/>
        <w:rPr>
          <w:sz w:val="22"/>
          <w:szCs w:val="22"/>
        </w:rPr>
      </w:pPr>
      <w:r w:rsidRPr="00977DFB">
        <w:rPr>
          <w:sz w:val="22"/>
          <w:szCs w:val="22"/>
        </w:rPr>
        <w:t>O projeto não extrapola o campo de atuação municipal, uma vez que se trata de regulamentar o acesso ao tratamento fora do domicílio quando os serviços locais se mostram insuficientes</w:t>
      </w:r>
      <w:r w:rsidR="00612925">
        <w:rPr>
          <w:sz w:val="22"/>
          <w:szCs w:val="22"/>
        </w:rPr>
        <w:t xml:space="preserve"> e o transporte para procedimentos de caráter eletivo, sem urgência</w:t>
      </w:r>
      <w:r w:rsidRPr="00977DFB">
        <w:rPr>
          <w:sz w:val="22"/>
          <w:szCs w:val="22"/>
        </w:rPr>
        <w:t>.</w:t>
      </w:r>
      <w:r>
        <w:rPr>
          <w:sz w:val="22"/>
          <w:szCs w:val="22"/>
        </w:rPr>
        <w:t xml:space="preserve"> Assim, o projeto, </w:t>
      </w:r>
      <w:r w:rsidRPr="00977DFB">
        <w:rPr>
          <w:sz w:val="22"/>
          <w:szCs w:val="22"/>
        </w:rPr>
        <w:t>visa garantir o acesso universal e igualitário às ações e serviços de saúde, alinhando-se aos princípios da dignidade da pessoa humana e da universalidade do SUS.</w:t>
      </w:r>
    </w:p>
    <w:p w14:paraId="74FCD124" w14:textId="50122507" w:rsidR="00612925" w:rsidRPr="00612925" w:rsidRDefault="00612925" w:rsidP="00612925">
      <w:pPr>
        <w:pStyle w:val="Default"/>
        <w:spacing w:line="276" w:lineRule="auto"/>
        <w:ind w:firstLine="1134"/>
        <w:jc w:val="both"/>
        <w:rPr>
          <w:sz w:val="22"/>
          <w:szCs w:val="22"/>
        </w:rPr>
      </w:pPr>
      <w:r>
        <w:rPr>
          <w:sz w:val="22"/>
          <w:szCs w:val="22"/>
        </w:rPr>
        <w:t>A</w:t>
      </w:r>
      <w:r w:rsidRPr="00612925">
        <w:rPr>
          <w:sz w:val="22"/>
          <w:szCs w:val="22"/>
        </w:rPr>
        <w:t>o assegurar condições de acesso aos serviços de saúde</w:t>
      </w:r>
      <w:r>
        <w:rPr>
          <w:sz w:val="22"/>
          <w:szCs w:val="22"/>
        </w:rPr>
        <w:t xml:space="preserve"> </w:t>
      </w:r>
      <w:r w:rsidRPr="00612925">
        <w:rPr>
          <w:sz w:val="22"/>
          <w:szCs w:val="22"/>
        </w:rPr>
        <w:t>e observa</w:t>
      </w:r>
      <w:r>
        <w:rPr>
          <w:sz w:val="22"/>
          <w:szCs w:val="22"/>
        </w:rPr>
        <w:t>r</w:t>
      </w:r>
      <w:r w:rsidRPr="00612925">
        <w:rPr>
          <w:sz w:val="22"/>
          <w:szCs w:val="22"/>
        </w:rPr>
        <w:t xml:space="preserve"> os princípios da universalidade, da integralidade e da equidade do SUS</w:t>
      </w:r>
      <w:r>
        <w:rPr>
          <w:sz w:val="22"/>
          <w:szCs w:val="22"/>
        </w:rPr>
        <w:t xml:space="preserve">, o projeto </w:t>
      </w:r>
      <w:r w:rsidRPr="00612925">
        <w:rPr>
          <w:sz w:val="22"/>
          <w:szCs w:val="22"/>
        </w:rPr>
        <w:t>está em consonância com as diretrizes do Sistema Único de Saúde, bem como com portarias e decretos federais (como a Portaria nº 2.048/2002 do Ministério da Saúde, que regulamenta o transporte de urgência e emergência) – sem que haja conflito, visto que o TSE é diferenciado por sua natureza eletiva.</w:t>
      </w:r>
    </w:p>
    <w:p w14:paraId="21F03CEE" w14:textId="77777777" w:rsidR="00612925" w:rsidRPr="00612925" w:rsidRDefault="00612925" w:rsidP="00612925">
      <w:pPr>
        <w:pStyle w:val="Default"/>
        <w:spacing w:line="276" w:lineRule="auto"/>
        <w:ind w:firstLine="1134"/>
        <w:jc w:val="both"/>
        <w:rPr>
          <w:sz w:val="22"/>
          <w:szCs w:val="22"/>
        </w:rPr>
      </w:pPr>
    </w:p>
    <w:p w14:paraId="185E2AD7" w14:textId="77777777" w:rsidR="00612925" w:rsidRPr="00612925" w:rsidRDefault="00612925" w:rsidP="00612925">
      <w:pPr>
        <w:pStyle w:val="Default"/>
        <w:spacing w:line="276" w:lineRule="auto"/>
        <w:ind w:firstLine="1134"/>
        <w:jc w:val="both"/>
        <w:rPr>
          <w:sz w:val="22"/>
          <w:szCs w:val="22"/>
        </w:rPr>
      </w:pPr>
      <w:r w:rsidRPr="00612925">
        <w:rPr>
          <w:sz w:val="22"/>
          <w:szCs w:val="22"/>
        </w:rPr>
        <w:t>Ao estabelecer critérios e procedimentos específicos para o TFD e o TSE, a norma atua como regulamentação local que complementa as orientações federais, respeitando os limites impostos pelo ordenamento jurídico nacional.</w:t>
      </w:r>
    </w:p>
    <w:p w14:paraId="13F3BB2A" w14:textId="2216A100" w:rsidR="00612925" w:rsidRPr="00977DFB" w:rsidRDefault="00612925" w:rsidP="00612925">
      <w:pPr>
        <w:pStyle w:val="Default"/>
        <w:spacing w:line="276" w:lineRule="auto"/>
        <w:ind w:firstLine="1134"/>
        <w:jc w:val="both"/>
        <w:rPr>
          <w:sz w:val="22"/>
          <w:szCs w:val="22"/>
        </w:rPr>
      </w:pPr>
      <w:r w:rsidRPr="00612925">
        <w:rPr>
          <w:sz w:val="22"/>
          <w:szCs w:val="22"/>
        </w:rPr>
        <w:t>Não se verificam incompatibilidades relevantes; pelo contrário, a lei local adapta as diretrizes gerais às necessidades específicas do Município de Carmo da Mata.</w:t>
      </w:r>
    </w:p>
    <w:p w14:paraId="0EECB2E2" w14:textId="77777777" w:rsidR="00977DFB" w:rsidRDefault="00977DFB" w:rsidP="00906083">
      <w:pPr>
        <w:pStyle w:val="Default"/>
        <w:spacing w:line="276" w:lineRule="auto"/>
        <w:ind w:firstLine="1134"/>
        <w:jc w:val="both"/>
        <w:rPr>
          <w:sz w:val="22"/>
          <w:szCs w:val="22"/>
        </w:rPr>
      </w:pPr>
    </w:p>
    <w:p w14:paraId="37E16EF2" w14:textId="7ADFEA66" w:rsidR="00943496" w:rsidRPr="00051D74" w:rsidRDefault="00943496" w:rsidP="00D93250">
      <w:pPr>
        <w:pStyle w:val="Default"/>
        <w:spacing w:line="276" w:lineRule="auto"/>
        <w:jc w:val="both"/>
        <w:rPr>
          <w:b/>
          <w:color w:val="auto"/>
          <w:sz w:val="22"/>
          <w:szCs w:val="22"/>
        </w:rPr>
      </w:pPr>
      <w:r w:rsidRPr="00051D74">
        <w:rPr>
          <w:b/>
          <w:color w:val="auto"/>
          <w:sz w:val="22"/>
          <w:szCs w:val="22"/>
        </w:rPr>
        <w:t>II</w:t>
      </w:r>
      <w:r w:rsidR="00103581" w:rsidRPr="00051D74">
        <w:rPr>
          <w:b/>
          <w:color w:val="auto"/>
          <w:sz w:val="22"/>
          <w:szCs w:val="22"/>
        </w:rPr>
        <w:t xml:space="preserve"> –</w:t>
      </w:r>
      <w:r w:rsidRPr="00051D74">
        <w:rPr>
          <w:b/>
          <w:color w:val="auto"/>
          <w:sz w:val="22"/>
          <w:szCs w:val="22"/>
        </w:rPr>
        <w:t xml:space="preserve"> DA RESPONSABILIDADE COM A DESPESA PÚBLICA</w:t>
      </w:r>
    </w:p>
    <w:p w14:paraId="213567B2" w14:textId="77777777" w:rsidR="00906083" w:rsidRDefault="003577C6" w:rsidP="00906083">
      <w:pPr>
        <w:pStyle w:val="Default"/>
        <w:spacing w:line="276" w:lineRule="auto"/>
        <w:ind w:firstLine="1134"/>
        <w:jc w:val="both"/>
        <w:rPr>
          <w:bCs/>
          <w:color w:val="auto"/>
          <w:sz w:val="22"/>
          <w:szCs w:val="22"/>
        </w:rPr>
      </w:pPr>
      <w:r w:rsidRPr="00051D74">
        <w:rPr>
          <w:bCs/>
          <w:color w:val="auto"/>
          <w:sz w:val="22"/>
          <w:szCs w:val="22"/>
        </w:rPr>
        <w:t xml:space="preserve">O projeto de lei ora analisado não tem o condão de gerar despesas significativas ao Poder Público Municipal, pelo o que a análise do tópico sobre a responsabilidade com a despesa pública se torna desnecessária neste momento. </w:t>
      </w:r>
    </w:p>
    <w:p w14:paraId="58010F52" w14:textId="5B9575DA" w:rsidR="00906083" w:rsidRDefault="00612925" w:rsidP="00906083">
      <w:pPr>
        <w:pStyle w:val="Default"/>
        <w:spacing w:line="276" w:lineRule="auto"/>
        <w:ind w:firstLine="1134"/>
        <w:jc w:val="both"/>
        <w:rPr>
          <w:bCs/>
          <w:color w:val="auto"/>
          <w:sz w:val="22"/>
          <w:szCs w:val="22"/>
        </w:rPr>
      </w:pPr>
      <w:r>
        <w:rPr>
          <w:bCs/>
          <w:color w:val="auto"/>
          <w:sz w:val="22"/>
          <w:szCs w:val="22"/>
        </w:rPr>
        <w:t>Ressalte-se que o serviço é atualmente fornecido pelo Município, tendo havido apenas a sua regulamentação, sem criação de novos programas – o que dispensa eventual necessidade de estimativa de impacto orçamentário-financeiro e declaração de previsão orçamentária.</w:t>
      </w:r>
    </w:p>
    <w:p w14:paraId="4306D1A4" w14:textId="77777777" w:rsidR="00906083" w:rsidRPr="00906083" w:rsidRDefault="00906083" w:rsidP="00906083">
      <w:pPr>
        <w:pStyle w:val="Default"/>
        <w:spacing w:line="276" w:lineRule="auto"/>
        <w:ind w:firstLine="1134"/>
        <w:jc w:val="both"/>
        <w:rPr>
          <w:bCs/>
          <w:color w:val="auto"/>
          <w:sz w:val="22"/>
          <w:szCs w:val="22"/>
        </w:rPr>
      </w:pPr>
    </w:p>
    <w:p w14:paraId="401FC375" w14:textId="602C3CC1" w:rsidR="00636B63" w:rsidRPr="00051D74" w:rsidRDefault="005E2AC2" w:rsidP="00D93250">
      <w:pPr>
        <w:pStyle w:val="Default"/>
        <w:spacing w:line="276" w:lineRule="auto"/>
        <w:jc w:val="both"/>
        <w:rPr>
          <w:b/>
          <w:color w:val="auto"/>
          <w:sz w:val="22"/>
          <w:szCs w:val="22"/>
        </w:rPr>
      </w:pPr>
      <w:r w:rsidRPr="00051D74">
        <w:rPr>
          <w:b/>
          <w:color w:val="auto"/>
          <w:sz w:val="22"/>
          <w:szCs w:val="22"/>
        </w:rPr>
        <w:t>III</w:t>
      </w:r>
      <w:r w:rsidR="00103581" w:rsidRPr="00051D74">
        <w:rPr>
          <w:b/>
          <w:color w:val="auto"/>
          <w:sz w:val="22"/>
          <w:szCs w:val="22"/>
        </w:rPr>
        <w:t xml:space="preserve"> –</w:t>
      </w:r>
      <w:r w:rsidR="00636B63" w:rsidRPr="00051D74">
        <w:rPr>
          <w:b/>
          <w:color w:val="auto"/>
          <w:sz w:val="22"/>
          <w:szCs w:val="22"/>
        </w:rPr>
        <w:t xml:space="preserve"> CONCLUSÃO</w:t>
      </w:r>
    </w:p>
    <w:p w14:paraId="251190BD"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lastRenderedPageBreak/>
        <w:t>Dessa forma, a opinião jurídica exarada neste parecer não tem força vinculante, podendo seus fundamentos serem utilizados ou não pelos membros desta Casa, servindo apenas como norte para o voto dos Edis.</w:t>
      </w:r>
      <w:r w:rsidRPr="00051D74">
        <w:rPr>
          <w:color w:val="auto"/>
          <w:sz w:val="22"/>
          <w:szCs w:val="22"/>
        </w:rPr>
        <w:tab/>
      </w:r>
    </w:p>
    <w:p w14:paraId="6642A06E" w14:textId="77777777" w:rsidR="001E1583" w:rsidRPr="00051D74" w:rsidRDefault="00636B63" w:rsidP="00D93250">
      <w:pPr>
        <w:pStyle w:val="Default"/>
        <w:spacing w:line="276" w:lineRule="auto"/>
        <w:ind w:firstLine="1134"/>
        <w:jc w:val="both"/>
        <w:rPr>
          <w:color w:val="auto"/>
          <w:sz w:val="22"/>
          <w:szCs w:val="22"/>
        </w:rPr>
      </w:pPr>
      <w:r w:rsidRPr="00051D74">
        <w:rPr>
          <w:color w:val="auto"/>
          <w:sz w:val="22"/>
          <w:szCs w:val="22"/>
        </w:rPr>
        <w:tab/>
      </w:r>
    </w:p>
    <w:p w14:paraId="1D9A275D" w14:textId="2B39DF92" w:rsidR="00636B63" w:rsidRPr="00051D74" w:rsidRDefault="00636B63" w:rsidP="00D93250">
      <w:pPr>
        <w:pStyle w:val="Default"/>
        <w:spacing w:line="276" w:lineRule="auto"/>
        <w:ind w:firstLine="1134"/>
        <w:jc w:val="both"/>
        <w:rPr>
          <w:color w:val="auto"/>
          <w:sz w:val="22"/>
          <w:szCs w:val="22"/>
        </w:rPr>
      </w:pPr>
      <w:r w:rsidRPr="00051D74">
        <w:rPr>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051D74" w:rsidRDefault="005E2AC2" w:rsidP="00D93250">
      <w:pPr>
        <w:pStyle w:val="Default"/>
        <w:spacing w:line="276" w:lineRule="auto"/>
        <w:ind w:firstLine="1134"/>
        <w:jc w:val="right"/>
        <w:rPr>
          <w:color w:val="auto"/>
          <w:sz w:val="22"/>
          <w:szCs w:val="22"/>
        </w:rPr>
      </w:pPr>
    </w:p>
    <w:p w14:paraId="218DAC28" w14:textId="7A2410C5" w:rsidR="00C46DBF" w:rsidRPr="00051D74" w:rsidRDefault="001F316B" w:rsidP="00D93250">
      <w:pPr>
        <w:pStyle w:val="Default"/>
        <w:spacing w:line="276" w:lineRule="auto"/>
        <w:ind w:firstLine="1134"/>
        <w:jc w:val="right"/>
        <w:rPr>
          <w:sz w:val="22"/>
          <w:szCs w:val="22"/>
        </w:rPr>
      </w:pPr>
      <w:r w:rsidRPr="00051D74">
        <w:rPr>
          <w:color w:val="auto"/>
          <w:sz w:val="22"/>
          <w:szCs w:val="22"/>
        </w:rPr>
        <w:t xml:space="preserve"> </w:t>
      </w:r>
      <w:r w:rsidR="00C46DBF" w:rsidRPr="00051D74">
        <w:rPr>
          <w:sz w:val="22"/>
          <w:szCs w:val="22"/>
        </w:rPr>
        <w:t>Carmo da Mata/MG</w:t>
      </w:r>
      <w:r w:rsidR="00051D74">
        <w:rPr>
          <w:sz w:val="22"/>
          <w:szCs w:val="22"/>
        </w:rPr>
        <w:t xml:space="preserve">, </w:t>
      </w:r>
      <w:r w:rsidR="00681131">
        <w:rPr>
          <w:sz w:val="22"/>
          <w:szCs w:val="22"/>
        </w:rPr>
        <w:t>28</w:t>
      </w:r>
      <w:r w:rsidR="00051D74">
        <w:rPr>
          <w:sz w:val="22"/>
          <w:szCs w:val="22"/>
        </w:rPr>
        <w:t xml:space="preserve"> de março de 2025</w:t>
      </w:r>
      <w:r w:rsidR="00C46DBF" w:rsidRPr="00051D74">
        <w:rPr>
          <w:sz w:val="22"/>
          <w:szCs w:val="22"/>
        </w:rPr>
        <w:t>.</w:t>
      </w:r>
    </w:p>
    <w:p w14:paraId="53123F2A" w14:textId="77777777" w:rsidR="00C46DBF" w:rsidRPr="00051D74" w:rsidRDefault="00C46DBF" w:rsidP="00D93250">
      <w:pPr>
        <w:pStyle w:val="Default"/>
        <w:spacing w:line="276" w:lineRule="auto"/>
        <w:jc w:val="both"/>
        <w:rPr>
          <w:color w:val="auto"/>
          <w:sz w:val="22"/>
          <w:szCs w:val="22"/>
        </w:rPr>
      </w:pPr>
    </w:p>
    <w:p w14:paraId="7E0E16C8" w14:textId="77777777" w:rsidR="00C46DBF" w:rsidRPr="00051D74" w:rsidRDefault="00C46DBF" w:rsidP="00D93250">
      <w:pPr>
        <w:pStyle w:val="Default"/>
        <w:spacing w:line="276" w:lineRule="auto"/>
        <w:ind w:firstLine="1134"/>
        <w:jc w:val="both"/>
        <w:rPr>
          <w:color w:val="auto"/>
          <w:sz w:val="22"/>
          <w:szCs w:val="22"/>
        </w:rPr>
      </w:pPr>
    </w:p>
    <w:p w14:paraId="7D8CDF67" w14:textId="77777777" w:rsidR="00C46DBF" w:rsidRPr="00051D74" w:rsidRDefault="00C46DBF" w:rsidP="00D93250">
      <w:pPr>
        <w:pStyle w:val="NormalWeb"/>
        <w:spacing w:line="276" w:lineRule="auto"/>
        <w:jc w:val="center"/>
        <w:rPr>
          <w:rFonts w:ascii="Calibri" w:hAnsi="Calibri" w:cs="Calibri"/>
          <w:b/>
          <w:color w:val="000000"/>
          <w:sz w:val="22"/>
          <w:szCs w:val="22"/>
          <w:u w:val="single"/>
        </w:rPr>
      </w:pPr>
      <w:r w:rsidRPr="00051D74">
        <w:rPr>
          <w:rFonts w:ascii="Calibri" w:hAnsi="Calibri" w:cs="Calibri"/>
          <w:b/>
          <w:color w:val="000000"/>
          <w:sz w:val="22"/>
          <w:szCs w:val="22"/>
        </w:rPr>
        <w:t>_____________________________</w:t>
      </w:r>
    </w:p>
    <w:p w14:paraId="2063703A"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Ana Luíza Agra Zaponi</w:t>
      </w:r>
    </w:p>
    <w:p w14:paraId="21D513A6"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Advogada do Legislativo </w:t>
      </w:r>
    </w:p>
    <w:p w14:paraId="7053AF10" w14:textId="4F085423" w:rsidR="00554390" w:rsidRPr="00051D74" w:rsidRDefault="00C46DBF" w:rsidP="00D93250">
      <w:pPr>
        <w:pStyle w:val="NormalWeb"/>
        <w:spacing w:line="276" w:lineRule="auto"/>
        <w:jc w:val="center"/>
        <w:rPr>
          <w:rFonts w:ascii="Calibri" w:hAnsi="Calibri" w:cs="Calibri"/>
          <w:sz w:val="22"/>
          <w:szCs w:val="22"/>
        </w:rPr>
      </w:pPr>
      <w:r w:rsidRPr="00051D74">
        <w:rPr>
          <w:rFonts w:ascii="Calibri" w:hAnsi="Calibri" w:cs="Calibri"/>
          <w:b/>
          <w:color w:val="000000"/>
          <w:sz w:val="22"/>
          <w:szCs w:val="22"/>
        </w:rPr>
        <w:t>OAB/MG 222.104</w:t>
      </w:r>
      <w:bookmarkEnd w:id="0"/>
    </w:p>
    <w:sectPr w:rsidR="00554390" w:rsidRPr="00051D74"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B2005" w14:textId="77777777" w:rsidR="00C43636" w:rsidRDefault="00C43636">
      <w:pPr>
        <w:spacing w:after="0" w:line="240" w:lineRule="auto"/>
      </w:pPr>
      <w:r>
        <w:separator/>
      </w:r>
    </w:p>
  </w:endnote>
  <w:endnote w:type="continuationSeparator" w:id="0">
    <w:p w14:paraId="7F295FD7" w14:textId="77777777" w:rsidR="00C43636" w:rsidRDefault="00C4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CE9E" w14:textId="77777777" w:rsidR="00C43636" w:rsidRDefault="00C43636">
      <w:pPr>
        <w:spacing w:after="0" w:line="240" w:lineRule="auto"/>
      </w:pPr>
      <w:r>
        <w:separator/>
      </w:r>
    </w:p>
  </w:footnote>
  <w:footnote w:type="continuationSeparator" w:id="0">
    <w:p w14:paraId="3FEAE548" w14:textId="77777777" w:rsidR="00C43636" w:rsidRDefault="00C43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43D7"/>
    <w:multiLevelType w:val="hybridMultilevel"/>
    <w:tmpl w:val="B88EBD3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4"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2"/>
  </w:num>
  <w:num w:numId="2" w16cid:durableId="266470529">
    <w:abstractNumId w:val="4"/>
  </w:num>
  <w:num w:numId="3" w16cid:durableId="1915164765">
    <w:abstractNumId w:val="1"/>
  </w:num>
  <w:num w:numId="4" w16cid:durableId="1294217290">
    <w:abstractNumId w:val="3"/>
  </w:num>
  <w:num w:numId="5" w16cid:durableId="70270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1D74"/>
    <w:rsid w:val="00052FAA"/>
    <w:rsid w:val="00064553"/>
    <w:rsid w:val="00085638"/>
    <w:rsid w:val="000A123C"/>
    <w:rsid w:val="000A389B"/>
    <w:rsid w:val="000C6F57"/>
    <w:rsid w:val="000D1E10"/>
    <w:rsid w:val="000D7BD2"/>
    <w:rsid w:val="00103581"/>
    <w:rsid w:val="0011555A"/>
    <w:rsid w:val="00150FD5"/>
    <w:rsid w:val="0016339A"/>
    <w:rsid w:val="00165A83"/>
    <w:rsid w:val="0019375F"/>
    <w:rsid w:val="001C23A0"/>
    <w:rsid w:val="001D11E7"/>
    <w:rsid w:val="001D5FD3"/>
    <w:rsid w:val="001E1583"/>
    <w:rsid w:val="001F316B"/>
    <w:rsid w:val="001F7468"/>
    <w:rsid w:val="0020652F"/>
    <w:rsid w:val="00207133"/>
    <w:rsid w:val="0022621B"/>
    <w:rsid w:val="00246D57"/>
    <w:rsid w:val="0029679A"/>
    <w:rsid w:val="002A75BB"/>
    <w:rsid w:val="002C607D"/>
    <w:rsid w:val="002C7E84"/>
    <w:rsid w:val="002D3D3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4258D7"/>
    <w:rsid w:val="00447F0D"/>
    <w:rsid w:val="00471ADE"/>
    <w:rsid w:val="00491D3F"/>
    <w:rsid w:val="004F2EE7"/>
    <w:rsid w:val="005045E6"/>
    <w:rsid w:val="00513D70"/>
    <w:rsid w:val="00520277"/>
    <w:rsid w:val="00527C81"/>
    <w:rsid w:val="00533A89"/>
    <w:rsid w:val="00553C4F"/>
    <w:rsid w:val="00554390"/>
    <w:rsid w:val="005D76E9"/>
    <w:rsid w:val="005E2AC2"/>
    <w:rsid w:val="005F6EF5"/>
    <w:rsid w:val="00612925"/>
    <w:rsid w:val="00624190"/>
    <w:rsid w:val="00636B63"/>
    <w:rsid w:val="00670DFF"/>
    <w:rsid w:val="00680309"/>
    <w:rsid w:val="00681131"/>
    <w:rsid w:val="0069531A"/>
    <w:rsid w:val="006B1A17"/>
    <w:rsid w:val="006B376D"/>
    <w:rsid w:val="006E3BE4"/>
    <w:rsid w:val="00712768"/>
    <w:rsid w:val="00722045"/>
    <w:rsid w:val="00765C9F"/>
    <w:rsid w:val="007B770E"/>
    <w:rsid w:val="007E0FCA"/>
    <w:rsid w:val="00835D7A"/>
    <w:rsid w:val="00842791"/>
    <w:rsid w:val="00880DF9"/>
    <w:rsid w:val="00885851"/>
    <w:rsid w:val="008B129F"/>
    <w:rsid w:val="008C30BC"/>
    <w:rsid w:val="008E040F"/>
    <w:rsid w:val="008E20A4"/>
    <w:rsid w:val="008E4C12"/>
    <w:rsid w:val="008F6E78"/>
    <w:rsid w:val="00906083"/>
    <w:rsid w:val="00920F17"/>
    <w:rsid w:val="00940132"/>
    <w:rsid w:val="00940676"/>
    <w:rsid w:val="00943496"/>
    <w:rsid w:val="00944B60"/>
    <w:rsid w:val="00962B89"/>
    <w:rsid w:val="00977DFB"/>
    <w:rsid w:val="00991967"/>
    <w:rsid w:val="00992E6C"/>
    <w:rsid w:val="009D7F55"/>
    <w:rsid w:val="00A0421E"/>
    <w:rsid w:val="00A10395"/>
    <w:rsid w:val="00A15093"/>
    <w:rsid w:val="00A40871"/>
    <w:rsid w:val="00A641CF"/>
    <w:rsid w:val="00A84777"/>
    <w:rsid w:val="00A9445D"/>
    <w:rsid w:val="00AA76C7"/>
    <w:rsid w:val="00AC49D1"/>
    <w:rsid w:val="00AC680F"/>
    <w:rsid w:val="00AC6ECC"/>
    <w:rsid w:val="00B13EF6"/>
    <w:rsid w:val="00B2754A"/>
    <w:rsid w:val="00B30D44"/>
    <w:rsid w:val="00B35B55"/>
    <w:rsid w:val="00B63444"/>
    <w:rsid w:val="00B722C0"/>
    <w:rsid w:val="00B74C42"/>
    <w:rsid w:val="00B81E4D"/>
    <w:rsid w:val="00B8405D"/>
    <w:rsid w:val="00BA6D55"/>
    <w:rsid w:val="00BD5812"/>
    <w:rsid w:val="00BD7E03"/>
    <w:rsid w:val="00BF5ABB"/>
    <w:rsid w:val="00C02DDA"/>
    <w:rsid w:val="00C120A2"/>
    <w:rsid w:val="00C43636"/>
    <w:rsid w:val="00C46DBF"/>
    <w:rsid w:val="00C73FA9"/>
    <w:rsid w:val="00C776E5"/>
    <w:rsid w:val="00C83C8E"/>
    <w:rsid w:val="00CC4212"/>
    <w:rsid w:val="00CE3813"/>
    <w:rsid w:val="00D021DD"/>
    <w:rsid w:val="00D06AF1"/>
    <w:rsid w:val="00D4022E"/>
    <w:rsid w:val="00D6177A"/>
    <w:rsid w:val="00D832C0"/>
    <w:rsid w:val="00D93250"/>
    <w:rsid w:val="00DA6E21"/>
    <w:rsid w:val="00E65A85"/>
    <w:rsid w:val="00E95412"/>
    <w:rsid w:val="00EC242A"/>
    <w:rsid w:val="00ED16F5"/>
    <w:rsid w:val="00EE216A"/>
    <w:rsid w:val="00F17F52"/>
    <w:rsid w:val="00F311CC"/>
    <w:rsid w:val="00F35AE2"/>
    <w:rsid w:val="00F54B3A"/>
    <w:rsid w:val="00F61458"/>
    <w:rsid w:val="00F724C7"/>
    <w:rsid w:val="00F75B87"/>
    <w:rsid w:val="00F96272"/>
    <w:rsid w:val="00FA4C4F"/>
    <w:rsid w:val="00FB3BA0"/>
    <w:rsid w:val="00FC2E7D"/>
    <w:rsid w:val="00FC5F47"/>
    <w:rsid w:val="00FD28E4"/>
    <w:rsid w:val="00FE0DAF"/>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 w:type="paragraph" w:styleId="PargrafodaLista">
    <w:name w:val="List Paragraph"/>
    <w:basedOn w:val="Normal"/>
    <w:uiPriority w:val="34"/>
    <w:qFormat/>
    <w:rsid w:val="00612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2061</Words>
  <Characters>11135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4</cp:revision>
  <cp:lastPrinted>2025-03-19T19:16:00Z</cp:lastPrinted>
  <dcterms:created xsi:type="dcterms:W3CDTF">2025-03-28T17:44:00Z</dcterms:created>
  <dcterms:modified xsi:type="dcterms:W3CDTF">2025-03-28T17:45:00Z</dcterms:modified>
</cp:coreProperties>
</file>